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9851" w14:textId="77777777" w:rsidR="00BF3328" w:rsidRPr="00B54907" w:rsidRDefault="00507AE6">
      <w:pPr>
        <w:pStyle w:val="Title"/>
        <w:spacing w:before="1304"/>
        <w:rPr>
          <w:rFonts w:ascii="Maiandra GD" w:hAnsi="Maiandra GD"/>
          <w:sz w:val="72"/>
          <w:szCs w:val="72"/>
        </w:rPr>
      </w:pPr>
      <w:r w:rsidRPr="00B54907">
        <w:rPr>
          <w:rFonts w:ascii="Maiandra GD" w:hAnsi="Maiandra GD"/>
          <w:sz w:val="72"/>
          <w:szCs w:val="72"/>
        </w:rPr>
        <w:t>Statuts de VISUMO</w:t>
      </w:r>
    </w:p>
    <w:p w14:paraId="2D6B27EE" w14:textId="77777777" w:rsidR="00BF3328" w:rsidRPr="00D20E82" w:rsidRDefault="00507AE6">
      <w:pPr>
        <w:pStyle w:val="Subtitle"/>
        <w:rPr>
          <w:rFonts w:ascii="Maiandra GD" w:hAnsi="Maiandra GD"/>
        </w:rPr>
      </w:pPr>
      <w:r w:rsidRPr="00D20E82">
        <w:rPr>
          <w:rFonts w:ascii="Maiandra GD" w:hAnsi="Maiandra GD"/>
        </w:rPr>
        <w:t>VIOLENCE SURVIVORS MOTHERS</w:t>
      </w:r>
    </w:p>
    <w:p w14:paraId="02E79A66" w14:textId="77777777" w:rsidR="00BF3328" w:rsidRPr="00D20E82" w:rsidRDefault="00507AE6">
      <w:pPr>
        <w:spacing w:after="360"/>
        <w:jc w:val="center"/>
        <w:rPr>
          <w:rFonts w:ascii="Maiandra GD" w:hAnsi="Maiandra GD"/>
        </w:rPr>
      </w:pPr>
      <w:r w:rsidRPr="00D20E82">
        <w:rPr>
          <w:rFonts w:ascii="Maiandra GD" w:hAnsi="Maiandra GD"/>
          <w:sz w:val="24"/>
        </w:rPr>
        <w:t>Association sans but lucratif de droit congolais</w:t>
      </w:r>
    </w:p>
    <w:p w14:paraId="0A1AF2BB" w14:textId="77777777" w:rsidR="00BF3328" w:rsidRPr="00D20E82" w:rsidRDefault="00507AE6">
      <w:pPr>
        <w:spacing w:after="400"/>
        <w:jc w:val="center"/>
        <w:rPr>
          <w:rFonts w:ascii="Maiandra GD" w:hAnsi="Maiandra GD"/>
        </w:rPr>
      </w:pPr>
      <w:r w:rsidRPr="00D20E82">
        <w:rPr>
          <w:rFonts w:ascii="Maiandra GD" w:hAnsi="Maiandra GD"/>
          <w:i/>
        </w:rPr>
        <w:t>Texte soumis à l’Assemblée générale</w:t>
      </w:r>
    </w:p>
    <w:p w14:paraId="46DEA1D7" w14:textId="77777777" w:rsidR="00BF3328" w:rsidRPr="00D20E82" w:rsidRDefault="00507AE6">
      <w:pPr>
        <w:spacing w:after="480"/>
        <w:jc w:val="center"/>
        <w:rPr>
          <w:rFonts w:ascii="Maiandra GD" w:hAnsi="Maiandra GD"/>
        </w:rPr>
      </w:pPr>
      <w:r w:rsidRPr="00D20E82">
        <w:rPr>
          <w:rFonts w:ascii="Maiandra GD" w:hAnsi="Maiandra GD"/>
        </w:rPr>
        <w:t>Protection des survivantes de violences basées sur le genre</w:t>
      </w:r>
      <w:r w:rsidRPr="00D20E82">
        <w:rPr>
          <w:rFonts w:ascii="Maiandra GD" w:hAnsi="Maiandra GD"/>
        </w:rPr>
        <w:br/>
        <w:t>Droits des femmes vivant avec le VIH et inclusion du handicap</w:t>
      </w:r>
    </w:p>
    <w:p w14:paraId="65F37E86" w14:textId="77777777" w:rsidR="00BF3328" w:rsidRPr="00D20E82" w:rsidRDefault="00507AE6">
      <w:pPr>
        <w:jc w:val="center"/>
        <w:rPr>
          <w:rFonts w:ascii="Maiandra GD" w:hAnsi="Maiandra GD"/>
        </w:rPr>
      </w:pPr>
      <w:r w:rsidRPr="00D20E82">
        <w:rPr>
          <w:rFonts w:ascii="Maiandra GD" w:hAnsi="Maiandra GD"/>
          <w:b/>
        </w:rPr>
        <w:t>Siège social</w:t>
      </w:r>
    </w:p>
    <w:p w14:paraId="4949CBE5" w14:textId="77777777" w:rsidR="00BF3328" w:rsidRPr="00D20E82" w:rsidRDefault="00507AE6">
      <w:pPr>
        <w:spacing w:after="200"/>
        <w:jc w:val="center"/>
        <w:rPr>
          <w:rFonts w:ascii="Maiandra GD" w:hAnsi="Maiandra GD"/>
        </w:rPr>
      </w:pPr>
      <w:r w:rsidRPr="00D20E82">
        <w:rPr>
          <w:rFonts w:ascii="Maiandra GD" w:hAnsi="Maiandra GD"/>
        </w:rPr>
        <w:t>N° 15, Avenue Moera</w:t>
      </w:r>
      <w:r w:rsidRPr="00D20E82">
        <w:rPr>
          <w:rFonts w:ascii="Maiandra GD" w:hAnsi="Maiandra GD"/>
        </w:rPr>
        <w:br/>
        <w:t>Quartier Malepe, Commune de Beu</w:t>
      </w:r>
      <w:r w:rsidRPr="00D20E82">
        <w:rPr>
          <w:rFonts w:ascii="Maiandra GD" w:hAnsi="Maiandra GD"/>
        </w:rPr>
        <w:br/>
        <w:t>Ville de Beni, Province du Nord-Kivu</w:t>
      </w:r>
      <w:r w:rsidRPr="00D20E82">
        <w:rPr>
          <w:rFonts w:ascii="Maiandra GD" w:hAnsi="Maiandra GD"/>
        </w:rPr>
        <w:br/>
        <w:t>République démocratique du Congo</w:t>
      </w:r>
    </w:p>
    <w:p w14:paraId="2F1FFBA4" w14:textId="77777777" w:rsidR="00BF3328" w:rsidRPr="00D20E82" w:rsidRDefault="00507AE6">
      <w:pPr>
        <w:spacing w:after="460"/>
        <w:jc w:val="center"/>
        <w:rPr>
          <w:rFonts w:ascii="Maiandra GD" w:hAnsi="Maiandra GD"/>
        </w:rPr>
      </w:pPr>
      <w:r w:rsidRPr="00D20E82">
        <w:rPr>
          <w:rFonts w:ascii="Maiandra GD" w:hAnsi="Maiandra GD"/>
        </w:rPr>
        <w:t>visumoadm@gmail.com</w:t>
      </w:r>
    </w:p>
    <w:p w14:paraId="7905882F" w14:textId="77777777" w:rsidR="00BF3328" w:rsidRPr="00D20E82" w:rsidRDefault="00507AE6">
      <w:pPr>
        <w:jc w:val="center"/>
        <w:rPr>
          <w:rFonts w:ascii="Maiandra GD" w:hAnsi="Maiandra GD"/>
        </w:rPr>
      </w:pPr>
      <w:r w:rsidRPr="00D20E82">
        <w:rPr>
          <w:rFonts w:ascii="Maiandra GD" w:hAnsi="Maiandra GD"/>
          <w:sz w:val="21"/>
        </w:rPr>
        <w:t>Version française</w:t>
      </w:r>
    </w:p>
    <w:p w14:paraId="64466976" w14:textId="77777777" w:rsidR="00BF3328" w:rsidRPr="00D20E82" w:rsidRDefault="00BF3328">
      <w:pPr>
        <w:rPr>
          <w:rFonts w:ascii="Maiandra GD" w:hAnsi="Maiandra GD"/>
        </w:rPr>
        <w:sectPr w:rsidR="00BF3328" w:rsidRPr="00D20E82" w:rsidSect="00903D67">
          <w:headerReference w:type="default" r:id="rId8"/>
          <w:footerReference w:type="default" r:id="rId9"/>
          <w:pgSz w:w="12240" w:h="15840"/>
          <w:pgMar w:top="3515" w:right="1134" w:bottom="1531" w:left="1134" w:header="397" w:footer="397" w:gutter="0"/>
          <w:pgBorders w:display="firstPage"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pPr>
    </w:p>
    <w:p w14:paraId="7C48AD67" w14:textId="77777777" w:rsidR="00BF3328" w:rsidRPr="00D20E82" w:rsidRDefault="00507AE6">
      <w:pPr>
        <w:pStyle w:val="Heading1"/>
        <w:rPr>
          <w:rFonts w:ascii="Maiandra GD" w:hAnsi="Maiandra GD"/>
        </w:rPr>
      </w:pPr>
      <w:r w:rsidRPr="00D20E82">
        <w:rPr>
          <w:rFonts w:ascii="Maiandra GD" w:hAnsi="Maiandra GD"/>
        </w:rPr>
        <w:lastRenderedPageBreak/>
        <w:t>Sommaire</w:t>
      </w:r>
    </w:p>
    <w:p w14:paraId="0B314AF2" w14:textId="77777777" w:rsidR="00BF3328" w:rsidRPr="00D20E82" w:rsidRDefault="00507AE6">
      <w:pPr>
        <w:spacing w:after="240"/>
        <w:rPr>
          <w:rFonts w:ascii="Maiandra GD" w:hAnsi="Maiandra GD"/>
        </w:rPr>
      </w:pPr>
      <w:r w:rsidRPr="00D20E82">
        <w:rPr>
          <w:rFonts w:ascii="Maiandra GD" w:hAnsi="Maiandra GD"/>
          <w:sz w:val="22"/>
        </w:rPr>
        <w:t>Les présents statuts comprennent 79 articles et une page d’adoption et de signatures. Ils définissent la mission de VISUMO, les droits des membres et les responsabilités de ses organes.</w:t>
      </w:r>
    </w:p>
    <w:p w14:paraId="7D14E992"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Préambule et fondements</w:t>
      </w:r>
      <w:r w:rsidRPr="00D20E82">
        <w:rPr>
          <w:rFonts w:ascii="Maiandra GD" w:hAnsi="Maiandra GD"/>
          <w:sz w:val="21"/>
        </w:rPr>
        <w:tab/>
        <w:t>3</w:t>
      </w:r>
    </w:p>
    <w:p w14:paraId="26518711"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I Identité siège et champ d’action</w:t>
      </w:r>
      <w:r w:rsidRPr="00D20E82">
        <w:rPr>
          <w:rFonts w:ascii="Maiandra GD" w:hAnsi="Maiandra GD"/>
          <w:sz w:val="21"/>
        </w:rPr>
        <w:tab/>
        <w:t>4</w:t>
      </w:r>
    </w:p>
    <w:p w14:paraId="20B768ED"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II Vision mission et principes</w:t>
      </w:r>
      <w:r w:rsidRPr="00D20E82">
        <w:rPr>
          <w:rFonts w:ascii="Maiandra GD" w:hAnsi="Maiandra GD"/>
          <w:sz w:val="21"/>
        </w:rPr>
        <w:tab/>
        <w:t>5</w:t>
      </w:r>
    </w:p>
    <w:p w14:paraId="37410618"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III Domaines et moyens d’action</w:t>
      </w:r>
      <w:r w:rsidRPr="00D20E82">
        <w:rPr>
          <w:rFonts w:ascii="Maiandra GD" w:hAnsi="Maiandra GD"/>
          <w:sz w:val="21"/>
        </w:rPr>
        <w:tab/>
        <w:t>6</w:t>
      </w:r>
    </w:p>
    <w:p w14:paraId="549390D2"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IV Membres et admission</w:t>
      </w:r>
      <w:r w:rsidRPr="00D20E82">
        <w:rPr>
          <w:rFonts w:ascii="Maiandra GD" w:hAnsi="Maiandra GD"/>
          <w:sz w:val="21"/>
        </w:rPr>
        <w:tab/>
        <w:t>7</w:t>
      </w:r>
    </w:p>
    <w:p w14:paraId="3C27BAC8"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V Droits et devoirs des membres</w:t>
      </w:r>
      <w:r w:rsidRPr="00D20E82">
        <w:rPr>
          <w:rFonts w:ascii="Maiandra GD" w:hAnsi="Maiandra GD"/>
          <w:sz w:val="21"/>
        </w:rPr>
        <w:tab/>
        <w:t>8</w:t>
      </w:r>
    </w:p>
    <w:p w14:paraId="5B35531C"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VI Retrait discipline et recours</w:t>
      </w:r>
      <w:r w:rsidRPr="00D20E82">
        <w:rPr>
          <w:rFonts w:ascii="Maiandra GD" w:hAnsi="Maiandra GD"/>
          <w:sz w:val="21"/>
        </w:rPr>
        <w:tab/>
        <w:t>9</w:t>
      </w:r>
    </w:p>
    <w:p w14:paraId="27C24BD0"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VII Organes et Assemblée générale</w:t>
      </w:r>
      <w:r w:rsidRPr="00D20E82">
        <w:rPr>
          <w:rFonts w:ascii="Maiandra GD" w:hAnsi="Maiandra GD"/>
          <w:sz w:val="21"/>
        </w:rPr>
        <w:tab/>
        <w:t>10</w:t>
      </w:r>
    </w:p>
    <w:p w14:paraId="63E340F4"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VIII Délibérations et élections</w:t>
      </w:r>
      <w:r w:rsidRPr="00D20E82">
        <w:rPr>
          <w:rFonts w:ascii="Maiandra GD" w:hAnsi="Maiandra GD"/>
          <w:sz w:val="21"/>
        </w:rPr>
        <w:tab/>
        <w:t>11</w:t>
      </w:r>
    </w:p>
    <w:p w14:paraId="203FBB0B"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IX Conseil d’administration</w:t>
      </w:r>
      <w:r w:rsidRPr="00D20E82">
        <w:rPr>
          <w:rFonts w:ascii="Maiandra GD" w:hAnsi="Maiandra GD"/>
          <w:sz w:val="21"/>
        </w:rPr>
        <w:tab/>
        <w:t>12</w:t>
      </w:r>
    </w:p>
    <w:p w14:paraId="47F745C6"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 Fonctionnement et responsabilités du Conseil</w:t>
      </w:r>
      <w:r w:rsidRPr="00D20E82">
        <w:rPr>
          <w:rFonts w:ascii="Maiandra GD" w:hAnsi="Maiandra GD"/>
          <w:sz w:val="21"/>
        </w:rPr>
        <w:tab/>
        <w:t>13</w:t>
      </w:r>
    </w:p>
    <w:p w14:paraId="743CA048"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XI Coordination et ressources humaines</w:t>
      </w:r>
      <w:r w:rsidRPr="00D20E82">
        <w:rPr>
          <w:rFonts w:ascii="Maiandra GD" w:hAnsi="Maiandra GD"/>
          <w:sz w:val="21"/>
        </w:rPr>
        <w:tab/>
        <w:t>14</w:t>
      </w:r>
    </w:p>
    <w:p w14:paraId="54DDE4D0"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XII Contrôle et redevabilité</w:t>
      </w:r>
      <w:r w:rsidRPr="00D20E82">
        <w:rPr>
          <w:rFonts w:ascii="Maiandra GD" w:hAnsi="Maiandra GD"/>
          <w:sz w:val="21"/>
        </w:rPr>
        <w:tab/>
        <w:t>15</w:t>
      </w:r>
    </w:p>
    <w:p w14:paraId="5F9FE6BD"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XIII Ressources et patrimoine</w:t>
      </w:r>
      <w:r w:rsidRPr="00D20E82">
        <w:rPr>
          <w:rFonts w:ascii="Maiandra GD" w:hAnsi="Maiandra GD"/>
          <w:sz w:val="21"/>
        </w:rPr>
        <w:tab/>
        <w:t>16</w:t>
      </w:r>
    </w:p>
    <w:p w14:paraId="1463BF13"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XIV Budget comptes et rapports financiers</w:t>
      </w:r>
      <w:r w:rsidRPr="00D20E82">
        <w:rPr>
          <w:rFonts w:ascii="Maiandra GD" w:hAnsi="Maiandra GD"/>
          <w:sz w:val="21"/>
        </w:rPr>
        <w:tab/>
        <w:t>17</w:t>
      </w:r>
    </w:p>
    <w:p w14:paraId="51A5EA48"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XV Engagements financiers et prévention des abus</w:t>
      </w:r>
      <w:r w:rsidRPr="00D20E82">
        <w:rPr>
          <w:rFonts w:ascii="Maiandra GD" w:hAnsi="Maiandra GD"/>
          <w:sz w:val="21"/>
        </w:rPr>
        <w:tab/>
        <w:t>18</w:t>
      </w:r>
    </w:p>
    <w:p w14:paraId="6519B6B4"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XVI Protection des personnes et confidentialité</w:t>
      </w:r>
      <w:r w:rsidRPr="00D20E82">
        <w:rPr>
          <w:rFonts w:ascii="Maiandra GD" w:hAnsi="Maiandra GD"/>
          <w:sz w:val="21"/>
        </w:rPr>
        <w:tab/>
        <w:t>19</w:t>
      </w:r>
    </w:p>
    <w:p w14:paraId="2682FC79"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XVII Partenariats participation et continuité</w:t>
      </w:r>
      <w:r w:rsidRPr="00D20E82">
        <w:rPr>
          <w:rFonts w:ascii="Maiandra GD" w:hAnsi="Maiandra GD"/>
          <w:sz w:val="21"/>
        </w:rPr>
        <w:tab/>
        <w:t>20</w:t>
      </w:r>
    </w:p>
    <w:p w14:paraId="0A1C62B6"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XVIII Révision dissolution et liquidation</w:t>
      </w:r>
      <w:r w:rsidRPr="00D20E82">
        <w:rPr>
          <w:rFonts w:ascii="Maiandra GD" w:hAnsi="Maiandra GD"/>
          <w:sz w:val="21"/>
        </w:rPr>
        <w:tab/>
        <w:t>21</w:t>
      </w:r>
    </w:p>
    <w:p w14:paraId="7E038ECB" w14:textId="77777777" w:rsidR="00BF3328" w:rsidRPr="00D20E82" w:rsidRDefault="00507AE6">
      <w:pPr>
        <w:tabs>
          <w:tab w:val="right" w:leader="dot" w:pos="9950"/>
        </w:tabs>
        <w:spacing w:after="140" w:line="240" w:lineRule="auto"/>
        <w:rPr>
          <w:rFonts w:ascii="Maiandra GD" w:hAnsi="Maiandra GD"/>
        </w:rPr>
      </w:pPr>
      <w:r w:rsidRPr="00D20E82">
        <w:rPr>
          <w:rFonts w:ascii="Maiandra GD" w:hAnsi="Maiandra GD"/>
          <w:sz w:val="21"/>
        </w:rPr>
        <w:t>Titre XIX Dispositions finales</w:t>
      </w:r>
      <w:r w:rsidRPr="00D20E82">
        <w:rPr>
          <w:rFonts w:ascii="Maiandra GD" w:hAnsi="Maiandra GD"/>
          <w:sz w:val="21"/>
        </w:rPr>
        <w:tab/>
        <w:t>22</w:t>
      </w:r>
    </w:p>
    <w:p w14:paraId="698A082A" w14:textId="77777777" w:rsidR="00BF3328" w:rsidRPr="00D20E82" w:rsidRDefault="00507AE6">
      <w:pPr>
        <w:tabs>
          <w:tab w:val="right" w:leader="dot" w:pos="9950"/>
        </w:tabs>
        <w:spacing w:after="300"/>
        <w:rPr>
          <w:rFonts w:ascii="Maiandra GD" w:hAnsi="Maiandra GD"/>
        </w:rPr>
      </w:pPr>
      <w:r w:rsidRPr="00D20E82">
        <w:rPr>
          <w:rFonts w:ascii="Maiandra GD" w:hAnsi="Maiandra GD"/>
          <w:sz w:val="21"/>
        </w:rPr>
        <w:t>Adoption et signatures</w:t>
      </w:r>
      <w:r w:rsidRPr="00D20E82">
        <w:rPr>
          <w:rFonts w:ascii="Maiandra GD" w:hAnsi="Maiandra GD"/>
          <w:sz w:val="21"/>
        </w:rPr>
        <w:tab/>
        <w:t>23</w:t>
      </w:r>
    </w:p>
    <w:p w14:paraId="6F682E5D" w14:textId="77777777" w:rsidR="00BF3328" w:rsidRPr="00D20E82" w:rsidRDefault="00507AE6">
      <w:pPr>
        <w:rPr>
          <w:rFonts w:ascii="Maiandra GD" w:hAnsi="Maiandra GD"/>
        </w:rPr>
      </w:pPr>
      <w:r w:rsidRPr="00D20E82">
        <w:rPr>
          <w:rFonts w:ascii="Maiandra GD" w:hAnsi="Maiandra GD"/>
          <w:sz w:val="21"/>
        </w:rPr>
        <w:t>Les listes nominatives et les décisions de désignation des responsables sont conservées avec le procès-verbal correspondant. Les données de santé ou les récits individuels de violences ne figurent pas dans ces listes.</w:t>
      </w:r>
    </w:p>
    <w:p w14:paraId="0AC79056" w14:textId="77777777" w:rsidR="00BF3328" w:rsidRPr="00D20E82" w:rsidRDefault="00507AE6">
      <w:pPr>
        <w:rPr>
          <w:rFonts w:ascii="Maiandra GD" w:hAnsi="Maiandra GD"/>
        </w:rPr>
      </w:pPr>
      <w:r w:rsidRPr="00D20E82">
        <w:rPr>
          <w:rFonts w:ascii="Maiandra GD" w:hAnsi="Maiandra GD"/>
        </w:rPr>
        <w:br w:type="page"/>
      </w:r>
    </w:p>
    <w:p w14:paraId="24F8F21C" w14:textId="77777777" w:rsidR="00BF3328" w:rsidRPr="00D20E82" w:rsidRDefault="00507AE6">
      <w:pPr>
        <w:pStyle w:val="Heading1"/>
        <w:rPr>
          <w:rFonts w:ascii="Maiandra GD" w:hAnsi="Maiandra GD"/>
        </w:rPr>
      </w:pPr>
      <w:r w:rsidRPr="00D20E82">
        <w:rPr>
          <w:rFonts w:ascii="Maiandra GD" w:hAnsi="Maiandra GD"/>
        </w:rPr>
        <w:t>Préambule et fondements</w:t>
      </w:r>
    </w:p>
    <w:p w14:paraId="7D6CDEDB" w14:textId="77777777" w:rsidR="00BF3328" w:rsidRPr="00D20E82" w:rsidRDefault="00507AE6">
      <w:pPr>
        <w:rPr>
          <w:rFonts w:ascii="Maiandra GD" w:hAnsi="Maiandra GD"/>
        </w:rPr>
      </w:pPr>
      <w:r w:rsidRPr="00D20E82">
        <w:rPr>
          <w:rFonts w:ascii="Maiandra GD" w:hAnsi="Maiandra GD"/>
        </w:rPr>
        <w:t>La dignité des femmes et des filles, leur sécurité et leur capacité à décider de leur vie fondent l’action de VIOLENCE SURVIVORS MOTHERS, en sigle VISUMO. Les violences basées sur le genre, la stigmatisation liée au VIH, le handicap et la précarité peuvent se renforcer et éloigner durablement les personnes concernées des soins, de la justice, de l’éducation et des moyens de subsistance.</w:t>
      </w:r>
    </w:p>
    <w:p w14:paraId="54AE6AB9" w14:textId="77777777" w:rsidR="00BF3328" w:rsidRPr="00D20E82" w:rsidRDefault="00507AE6">
      <w:pPr>
        <w:rPr>
          <w:rFonts w:ascii="Maiandra GD" w:hAnsi="Maiandra GD"/>
        </w:rPr>
      </w:pPr>
      <w:r w:rsidRPr="00D20E82">
        <w:rPr>
          <w:rFonts w:ascii="Maiandra GD" w:hAnsi="Maiandra GD"/>
        </w:rPr>
        <w:t>VISUMO entend soutenir les survivantes et les mères dans leurs choix, reconnaître leurs compétences et leur permettre de participer aux décisions qui les concernent. Son engagement repose sur la solidarité, l’égalité et une pratique attentive à la sécurité des personnes accompagnées. Les présents statuts organisent la vie associative, répartissent les responsabilités et fixent les garanties nécessaires à une gestion responsable.</w:t>
      </w:r>
    </w:p>
    <w:p w14:paraId="42411C17" w14:textId="77777777" w:rsidR="00BF3328" w:rsidRPr="00D20E82" w:rsidRDefault="00507AE6">
      <w:pPr>
        <w:pStyle w:val="Heading2"/>
        <w:rPr>
          <w:rFonts w:ascii="Maiandra GD" w:hAnsi="Maiandra GD"/>
        </w:rPr>
      </w:pPr>
      <w:r w:rsidRPr="00D20E82">
        <w:rPr>
          <w:rFonts w:ascii="Maiandra GD" w:hAnsi="Maiandra GD"/>
        </w:rPr>
        <w:t>Article 1 Dénomination</w:t>
      </w:r>
    </w:p>
    <w:p w14:paraId="56DF72E0" w14:textId="77777777" w:rsidR="00BF3328" w:rsidRPr="00D20E82" w:rsidRDefault="00507AE6">
      <w:pPr>
        <w:rPr>
          <w:rFonts w:ascii="Maiandra GD" w:hAnsi="Maiandra GD"/>
        </w:rPr>
      </w:pPr>
      <w:r w:rsidRPr="00D20E82">
        <w:rPr>
          <w:rFonts w:ascii="Maiandra GD" w:hAnsi="Maiandra GD"/>
        </w:rPr>
        <w:t>L’association porte la dénomination « VIOLENCE SURVIVORS MOTHERS », suivie de la mention « association sans but lucratif », en sigle « VISUMO ASBL ». Cette dénomination demeure son nom institutionnel, y compris dans les documents rédigés en français. L’expression VISUMO utilisée dans les présents statuts désigne cette même association. Le nom, le sigle et les signes distinctifs ne peuvent être employés pour un engagement personnel ou une collecte non autorisée.</w:t>
      </w:r>
    </w:p>
    <w:p w14:paraId="5546D104" w14:textId="77777777" w:rsidR="00BF3328" w:rsidRPr="00D20E82" w:rsidRDefault="00507AE6">
      <w:pPr>
        <w:pStyle w:val="Heading2"/>
        <w:rPr>
          <w:rFonts w:ascii="Maiandra GD" w:hAnsi="Maiandra GD"/>
        </w:rPr>
      </w:pPr>
      <w:r w:rsidRPr="00D20E82">
        <w:rPr>
          <w:rFonts w:ascii="Maiandra GD" w:hAnsi="Maiandra GD"/>
        </w:rPr>
        <w:t>Article 2 Nature et cadre juridique</w:t>
      </w:r>
    </w:p>
    <w:p w14:paraId="18CD77E6" w14:textId="77777777" w:rsidR="00BF3328" w:rsidRPr="00D20E82" w:rsidRDefault="00507AE6">
      <w:pPr>
        <w:rPr>
          <w:rFonts w:ascii="Maiandra GD" w:hAnsi="Maiandra GD"/>
        </w:rPr>
      </w:pPr>
      <w:r w:rsidRPr="00D20E82">
        <w:rPr>
          <w:rFonts w:ascii="Maiandra GD" w:hAnsi="Maiandra GD"/>
        </w:rPr>
        <w:t>VISUMO est une association de droit congolais, sans but lucratif, apolitique et non confessionnelle. Elle est régie par la loi n° 004/2001 du 20 juillet 2001 portant dispositions générales applicables aux associations sans but lucratif et aux établissements d’utilité publique, par les autres textes applicables et par les présents statuts. Les formalités de reconnaissance et de publicité sont accomplies auprès des autorités compétentes. L’adoption des statuts ne constitue pas, à elle seule, un acte d’octroi de la personnalité juridique.</w:t>
      </w:r>
    </w:p>
    <w:p w14:paraId="1D7D662F" w14:textId="77777777" w:rsidR="00BF3328" w:rsidRPr="00D20E82" w:rsidRDefault="00507AE6">
      <w:pPr>
        <w:pStyle w:val="Heading2"/>
        <w:rPr>
          <w:rFonts w:ascii="Maiandra GD" w:hAnsi="Maiandra GD"/>
        </w:rPr>
      </w:pPr>
      <w:r w:rsidRPr="00D20E82">
        <w:rPr>
          <w:rFonts w:ascii="Maiandra GD" w:hAnsi="Maiandra GD"/>
        </w:rPr>
        <w:t>Article 3 Finalité désintéressée</w:t>
      </w:r>
    </w:p>
    <w:p w14:paraId="6EC5D251" w14:textId="77777777" w:rsidR="00BF3328" w:rsidRPr="00D20E82" w:rsidRDefault="00507AE6">
      <w:pPr>
        <w:rPr>
          <w:rFonts w:ascii="Maiandra GD" w:hAnsi="Maiandra GD"/>
        </w:rPr>
      </w:pPr>
      <w:r w:rsidRPr="00D20E82">
        <w:rPr>
          <w:rFonts w:ascii="Maiandra GD" w:hAnsi="Maiandra GD"/>
        </w:rPr>
        <w:t>Les ressources et les biens de VISUMO sont exclusivement affectés à son objet social. Aucun excédent ne peut être distribué aux membres, aux responsables ou à leurs proches. Une rémunération correspondant à un travail réel ou un remboursement de frais justifiés reste possible dans les conditions définies par les présents statuts. Les opérations économiques éventuelles demeurent accessoires à la mission associative et leurs résultats sont intégralement réinvestis dans celle-ci.</w:t>
      </w:r>
    </w:p>
    <w:p w14:paraId="362264F0" w14:textId="77777777" w:rsidR="00BF3328" w:rsidRPr="00D20E82" w:rsidRDefault="00507AE6">
      <w:pPr>
        <w:rPr>
          <w:rFonts w:ascii="Maiandra GD" w:hAnsi="Maiandra GD"/>
        </w:rPr>
      </w:pPr>
      <w:r w:rsidRPr="00D20E82">
        <w:rPr>
          <w:rFonts w:ascii="Maiandra GD" w:hAnsi="Maiandra GD"/>
        </w:rPr>
        <w:br w:type="page"/>
      </w:r>
    </w:p>
    <w:p w14:paraId="60871A3C" w14:textId="77777777" w:rsidR="00BF3328" w:rsidRPr="00D20E82" w:rsidRDefault="00507AE6">
      <w:pPr>
        <w:pStyle w:val="Heading1"/>
        <w:rPr>
          <w:rFonts w:ascii="Maiandra GD" w:hAnsi="Maiandra GD"/>
        </w:rPr>
      </w:pPr>
      <w:r w:rsidRPr="00D20E82">
        <w:rPr>
          <w:rFonts w:ascii="Maiandra GD" w:hAnsi="Maiandra GD"/>
        </w:rPr>
        <w:t>Titre I Identité siège et champ d’action</w:t>
      </w:r>
    </w:p>
    <w:p w14:paraId="3A0661D7" w14:textId="77777777" w:rsidR="00BF3328" w:rsidRPr="00D20E82" w:rsidRDefault="00507AE6">
      <w:pPr>
        <w:pStyle w:val="Heading2"/>
        <w:rPr>
          <w:rFonts w:ascii="Maiandra GD" w:hAnsi="Maiandra GD"/>
        </w:rPr>
      </w:pPr>
      <w:r w:rsidRPr="00D20E82">
        <w:rPr>
          <w:rFonts w:ascii="Maiandra GD" w:hAnsi="Maiandra GD"/>
        </w:rPr>
        <w:t>Article 4 Siège social et coordonnées</w:t>
      </w:r>
    </w:p>
    <w:p w14:paraId="21E43A1E" w14:textId="77777777" w:rsidR="00BF3328" w:rsidRPr="00D20E82" w:rsidRDefault="00507AE6">
      <w:pPr>
        <w:rPr>
          <w:rFonts w:ascii="Maiandra GD" w:hAnsi="Maiandra GD"/>
        </w:rPr>
      </w:pPr>
      <w:r w:rsidRPr="00D20E82">
        <w:rPr>
          <w:rFonts w:ascii="Maiandra GD" w:hAnsi="Maiandra GD"/>
        </w:rPr>
        <w:t>Le siège social de VISUMO est établi au N° 15, Avenue Moera, Quartier Malepe, Commune de Beu, Ville de Beni, Province du Nord-Kivu, République démocratique du Congo. L’adresse électronique institutionnelle est visumoadm@gmail.com. Les registres et les archives institutionnelles sont conservés au siège ou dans un lieu sécurisé désigné par le Conseil d’administration. Une copie de sauvegarde peut être conservée ailleurs lorsque la continuité des activités l’exige, sans modifier le siège social.</w:t>
      </w:r>
    </w:p>
    <w:p w14:paraId="4B964F8A" w14:textId="77777777" w:rsidR="00BF3328" w:rsidRPr="00D20E82" w:rsidRDefault="00507AE6">
      <w:pPr>
        <w:pStyle w:val="Heading2"/>
        <w:rPr>
          <w:rFonts w:ascii="Maiandra GD" w:hAnsi="Maiandra GD"/>
        </w:rPr>
      </w:pPr>
      <w:r w:rsidRPr="00D20E82">
        <w:rPr>
          <w:rFonts w:ascii="Maiandra GD" w:hAnsi="Maiandra GD"/>
        </w:rPr>
        <w:t>Article 5 Transfert du siège et représentations</w:t>
      </w:r>
    </w:p>
    <w:p w14:paraId="60763547" w14:textId="77777777" w:rsidR="00BF3328" w:rsidRPr="00D20E82" w:rsidRDefault="00507AE6">
      <w:pPr>
        <w:rPr>
          <w:rFonts w:ascii="Maiandra GD" w:hAnsi="Maiandra GD"/>
        </w:rPr>
      </w:pPr>
      <w:r w:rsidRPr="00D20E82">
        <w:rPr>
          <w:rFonts w:ascii="Maiandra GD" w:hAnsi="Maiandra GD"/>
        </w:rPr>
        <w:t>Le transfert du siège social est décidé par l’Assemblée générale selon la procédure de modification statutaire. Le Conseil d’administration prépare les motifs du transfert, son coût et les mesures de continuité. Il peut ouvrir ou fermer un bureau opérationnel sans personnalité distincte, dans le respect du budget et des autorisations requises. Chaque bureau relève de la Coordination exécutive. Son ouverture ne lui confère ni autonomie patrimoniale ni pouvoir de signer des engagements au-delà d’une délégation écrite.</w:t>
      </w:r>
    </w:p>
    <w:p w14:paraId="31E6BDF5" w14:textId="77777777" w:rsidR="00BF3328" w:rsidRPr="00D20E82" w:rsidRDefault="00507AE6">
      <w:pPr>
        <w:pStyle w:val="Heading2"/>
        <w:rPr>
          <w:rFonts w:ascii="Maiandra GD" w:hAnsi="Maiandra GD"/>
        </w:rPr>
      </w:pPr>
      <w:r w:rsidRPr="00D20E82">
        <w:rPr>
          <w:rFonts w:ascii="Maiandra GD" w:hAnsi="Maiandra GD"/>
        </w:rPr>
        <w:t>Article 6 Champ géographique</w:t>
      </w:r>
    </w:p>
    <w:p w14:paraId="7C123FAF" w14:textId="77777777" w:rsidR="00BF3328" w:rsidRPr="00D20E82" w:rsidRDefault="00507AE6">
      <w:pPr>
        <w:rPr>
          <w:rFonts w:ascii="Maiandra GD" w:hAnsi="Maiandra GD"/>
        </w:rPr>
      </w:pPr>
      <w:r w:rsidRPr="00D20E82">
        <w:rPr>
          <w:rFonts w:ascii="Maiandra GD" w:hAnsi="Maiandra GD"/>
        </w:rPr>
        <w:t>VISUMO exerce prioritairement ses activités dans les provinces du Nord-Kivu et de l’Ituri. L’Assemblée générale peut approuver leur extension à d’autres provinces de la République démocratique du Congo en tenant compte des besoins, des capacités de l’association et des formalités applicables. La décision précise les provinces concernées et donne lieu, si nécessaire, à une modification statutaire. Toute activité à l’étranger est soumise à une décision préalable de l’Assemblée générale et au droit du pays d’accueil.</w:t>
      </w:r>
    </w:p>
    <w:p w14:paraId="63221B0D" w14:textId="77777777" w:rsidR="00BF3328" w:rsidRPr="00D20E82" w:rsidRDefault="00507AE6">
      <w:pPr>
        <w:pStyle w:val="Heading2"/>
        <w:rPr>
          <w:rFonts w:ascii="Maiandra GD" w:hAnsi="Maiandra GD"/>
        </w:rPr>
      </w:pPr>
      <w:r w:rsidRPr="00D20E82">
        <w:rPr>
          <w:rFonts w:ascii="Maiandra GD" w:hAnsi="Maiandra GD"/>
        </w:rPr>
        <w:t>Article 7 Durée indépendance et engagement public</w:t>
      </w:r>
    </w:p>
    <w:p w14:paraId="2E74B2F1" w14:textId="77777777" w:rsidR="00BF3328" w:rsidRPr="00D20E82" w:rsidRDefault="00507AE6">
      <w:pPr>
        <w:rPr>
          <w:rFonts w:ascii="Maiandra GD" w:hAnsi="Maiandra GD"/>
        </w:rPr>
      </w:pPr>
      <w:r w:rsidRPr="00D20E82">
        <w:rPr>
          <w:rFonts w:ascii="Maiandra GD" w:hAnsi="Maiandra GD"/>
        </w:rPr>
        <w:t>La durée de VISUMO est indéterminée. Elle conserve son autonomie de décision à l’égard des partis politiques, des confessions religieuses, des bailleurs et des prestataires. Elle peut contribuer au débat public et défendre des changements favorables aux droits des personnes accompagnées. Ses ressources et son identité ne peuvent soutenir une campagne électorale ou un candidat. L’engagement personnel d’un membre ne doit pas être présenté comme une position de l’association.</w:t>
      </w:r>
    </w:p>
    <w:p w14:paraId="4E018CA2" w14:textId="77777777" w:rsidR="00BF3328" w:rsidRPr="00D20E82" w:rsidRDefault="00507AE6">
      <w:pPr>
        <w:rPr>
          <w:rFonts w:ascii="Maiandra GD" w:hAnsi="Maiandra GD"/>
        </w:rPr>
      </w:pPr>
      <w:r w:rsidRPr="00D20E82">
        <w:rPr>
          <w:rFonts w:ascii="Maiandra GD" w:hAnsi="Maiandra GD"/>
        </w:rPr>
        <w:br w:type="page"/>
      </w:r>
    </w:p>
    <w:p w14:paraId="2C7D0ED3" w14:textId="77777777" w:rsidR="00BF3328" w:rsidRPr="00D20E82" w:rsidRDefault="00507AE6">
      <w:pPr>
        <w:pStyle w:val="Heading1"/>
        <w:rPr>
          <w:rFonts w:ascii="Maiandra GD" w:hAnsi="Maiandra GD"/>
        </w:rPr>
      </w:pPr>
      <w:r w:rsidRPr="00D20E82">
        <w:rPr>
          <w:rFonts w:ascii="Maiandra GD" w:hAnsi="Maiandra GD"/>
        </w:rPr>
        <w:t>Titre II Vision mission et principes</w:t>
      </w:r>
    </w:p>
    <w:p w14:paraId="54AE84AD" w14:textId="77777777" w:rsidR="00BF3328" w:rsidRPr="00D20E82" w:rsidRDefault="00507AE6">
      <w:pPr>
        <w:pStyle w:val="Heading2"/>
        <w:rPr>
          <w:rFonts w:ascii="Maiandra GD" w:hAnsi="Maiandra GD"/>
        </w:rPr>
      </w:pPr>
      <w:r w:rsidRPr="00D20E82">
        <w:rPr>
          <w:rFonts w:ascii="Maiandra GD" w:hAnsi="Maiandra GD"/>
        </w:rPr>
        <w:t>Article 8 Vision</w:t>
      </w:r>
    </w:p>
    <w:p w14:paraId="4624BA63" w14:textId="77777777" w:rsidR="00BF3328" w:rsidRPr="00D20E82" w:rsidRDefault="00507AE6">
      <w:pPr>
        <w:rPr>
          <w:rFonts w:ascii="Maiandra GD" w:hAnsi="Maiandra GD"/>
        </w:rPr>
      </w:pPr>
      <w:r w:rsidRPr="00D20E82">
        <w:rPr>
          <w:rFonts w:ascii="Maiandra GD" w:hAnsi="Maiandra GD"/>
        </w:rPr>
        <w:t>VISUMO aspire à des communautés dans lesquelles les femmes et les filles, notamment les survivantes de violences, les mères vivant avec le VIH et les personnes en situation de handicap, vivent en sécurité et accèdent à leurs droits sans discrimination. Cette vision inclut la possibilité de recevoir des soins respectueux, de poursuivre une éducation ou une activité économique et de participer aux décisions collectives. Elle guide les orientations de l’association sans créer une promesse de prise en charge individuelle illimitée.</w:t>
      </w:r>
    </w:p>
    <w:p w14:paraId="0A0F4421" w14:textId="77777777" w:rsidR="00BF3328" w:rsidRPr="00D20E82" w:rsidRDefault="00507AE6">
      <w:pPr>
        <w:pStyle w:val="Heading2"/>
        <w:rPr>
          <w:rFonts w:ascii="Maiandra GD" w:hAnsi="Maiandra GD"/>
        </w:rPr>
      </w:pPr>
      <w:r w:rsidRPr="00D20E82">
        <w:rPr>
          <w:rFonts w:ascii="Maiandra GD" w:hAnsi="Maiandra GD"/>
        </w:rPr>
        <w:t>Article 9 Mission et objet social</w:t>
      </w:r>
    </w:p>
    <w:p w14:paraId="06B56981" w14:textId="77777777" w:rsidR="00BF3328" w:rsidRPr="00D20E82" w:rsidRDefault="00507AE6">
      <w:pPr>
        <w:rPr>
          <w:rFonts w:ascii="Maiandra GD" w:hAnsi="Maiandra GD"/>
        </w:rPr>
      </w:pPr>
      <w:r w:rsidRPr="00D20E82">
        <w:rPr>
          <w:rFonts w:ascii="Maiandra GD" w:hAnsi="Maiandra GD"/>
        </w:rPr>
        <w:t>L’association a pour objet de prévenir les violences basées sur le genre, de défendre les droits des survivantes et de renforcer l’autonomie des femmes et des mères confrontées à la violence, au VIH, au handicap ou à l’exclusion. Elle met en relation l’accompagnement communautaire, l’information sur les droits, l’orientation vers les services compétents et le plaidoyer. Son action vise également à réduire les obstacles qui empêchent les personnes concernées de demander une aide sûre, de faire entendre leurs priorités et de reconstruire leurs perspectives.</w:t>
      </w:r>
    </w:p>
    <w:p w14:paraId="789D2039" w14:textId="77777777" w:rsidR="00BF3328" w:rsidRPr="00D20E82" w:rsidRDefault="00507AE6">
      <w:pPr>
        <w:pStyle w:val="Heading2"/>
        <w:rPr>
          <w:rFonts w:ascii="Maiandra GD" w:hAnsi="Maiandra GD"/>
        </w:rPr>
      </w:pPr>
      <w:r w:rsidRPr="00D20E82">
        <w:rPr>
          <w:rFonts w:ascii="Maiandra GD" w:hAnsi="Maiandra GD"/>
        </w:rPr>
        <w:t>Article 10 Objectifs spécifiques</w:t>
      </w:r>
    </w:p>
    <w:p w14:paraId="3EEA2AE9" w14:textId="77777777" w:rsidR="00BF3328" w:rsidRPr="00D20E82" w:rsidRDefault="00507AE6">
      <w:pPr>
        <w:rPr>
          <w:rFonts w:ascii="Maiandra GD" w:hAnsi="Maiandra GD"/>
        </w:rPr>
      </w:pPr>
      <w:r w:rsidRPr="00D20E82">
        <w:rPr>
          <w:rFonts w:ascii="Maiandra GD" w:hAnsi="Maiandra GD"/>
        </w:rPr>
        <w:t>VISUMO poursuit la prévention des violences et des pratiques discriminatoires, l’amélioration de l’accès aux services de santé et de protection et le renforcement du pouvoir de décision des personnes accompagnées. Elle soutient les initiatives de solidarité, les capacités des organisations communautaires et les moyens de subsistance compatibles avec la sécurité des participantes. Elle favorise la participation des femmes aux espaces de gouvernance, la reconnaissance des besoins liés au handicap et l’accès à une information compréhensible sur les droits et les services disponibles.</w:t>
      </w:r>
    </w:p>
    <w:p w14:paraId="387CFE64" w14:textId="77777777" w:rsidR="00BF3328" w:rsidRPr="00D20E82" w:rsidRDefault="00507AE6">
      <w:pPr>
        <w:pStyle w:val="Heading2"/>
        <w:rPr>
          <w:rFonts w:ascii="Maiandra GD" w:hAnsi="Maiandra GD"/>
        </w:rPr>
      </w:pPr>
      <w:r w:rsidRPr="00D20E82">
        <w:rPr>
          <w:rFonts w:ascii="Maiandra GD" w:hAnsi="Maiandra GD"/>
        </w:rPr>
        <w:t>Article 11 Principes d’intervention</w:t>
      </w:r>
    </w:p>
    <w:p w14:paraId="2E3822B0" w14:textId="77777777" w:rsidR="00BF3328" w:rsidRPr="00D20E82" w:rsidRDefault="00507AE6">
      <w:pPr>
        <w:rPr>
          <w:rFonts w:ascii="Maiandra GD" w:hAnsi="Maiandra GD"/>
        </w:rPr>
      </w:pPr>
      <w:r w:rsidRPr="00D20E82">
        <w:rPr>
          <w:rFonts w:ascii="Maiandra GD" w:hAnsi="Maiandra GD"/>
        </w:rPr>
        <w:t>Les organes, membres et équipes respectent la dignité, le consentement, la confidentialité, l’intégrité et la non-discrimination. L’association recherche des solutions accessibles et proportionnées aux besoins exprimés. Elle n’exige pas qu’une personne raconte publiquement une violence, révèle son statut sérologique ou expose son handicap pour être entendue. La sécurité et les choix de la personne orientent l’accompagnement, sous réserve des obligations légales de protection. Les décisions institutionnelles doivent pouvoir être expliquées et reliées à la mission.</w:t>
      </w:r>
    </w:p>
    <w:p w14:paraId="3A97840B" w14:textId="77777777" w:rsidR="00BF3328" w:rsidRPr="00D20E82" w:rsidRDefault="00507AE6">
      <w:pPr>
        <w:rPr>
          <w:rFonts w:ascii="Maiandra GD" w:hAnsi="Maiandra GD"/>
        </w:rPr>
      </w:pPr>
      <w:r w:rsidRPr="00D20E82">
        <w:rPr>
          <w:rFonts w:ascii="Maiandra GD" w:hAnsi="Maiandra GD"/>
        </w:rPr>
        <w:br w:type="page"/>
      </w:r>
    </w:p>
    <w:p w14:paraId="61B1661F" w14:textId="77777777" w:rsidR="00BF3328" w:rsidRPr="00D20E82" w:rsidRDefault="00507AE6">
      <w:pPr>
        <w:pStyle w:val="Heading1"/>
        <w:rPr>
          <w:rFonts w:ascii="Maiandra GD" w:hAnsi="Maiandra GD"/>
        </w:rPr>
      </w:pPr>
      <w:r w:rsidRPr="00D20E82">
        <w:rPr>
          <w:rFonts w:ascii="Maiandra GD" w:hAnsi="Maiandra GD"/>
        </w:rPr>
        <w:t>Titre III Domaines et moyens d’action</w:t>
      </w:r>
    </w:p>
    <w:p w14:paraId="6DA7A214" w14:textId="77777777" w:rsidR="00BF3328" w:rsidRPr="00D20E82" w:rsidRDefault="00507AE6">
      <w:pPr>
        <w:pStyle w:val="Heading2"/>
        <w:rPr>
          <w:rFonts w:ascii="Maiandra GD" w:hAnsi="Maiandra GD"/>
        </w:rPr>
      </w:pPr>
      <w:r w:rsidRPr="00D20E82">
        <w:rPr>
          <w:rFonts w:ascii="Maiandra GD" w:hAnsi="Maiandra GD"/>
        </w:rPr>
        <w:t>Article 12 Prévention et accompagnement des survivantes</w:t>
      </w:r>
    </w:p>
    <w:p w14:paraId="5301CBE8" w14:textId="77777777" w:rsidR="00BF3328" w:rsidRPr="00D20E82" w:rsidRDefault="00507AE6">
      <w:pPr>
        <w:rPr>
          <w:rFonts w:ascii="Maiandra GD" w:hAnsi="Maiandra GD"/>
        </w:rPr>
      </w:pPr>
      <w:r w:rsidRPr="00D20E82">
        <w:rPr>
          <w:rFonts w:ascii="Maiandra GD" w:hAnsi="Maiandra GD"/>
        </w:rPr>
        <w:t>VISUMO peut conduire des activités de prévention, d’écoute, de soutien communautaire et d’orientation adaptées aux violences physiques, sexuelles, psychologiques et économiques. Elle facilite, avec l’accord de la personne, l’accès aux professionnels de santé, aux services sociaux, à l’assistance juridique et aux mécanismes de protection compétents. L’accompagnement ne dépend pas du dépôt d’une plainte. L’association évite les démarches susceptibles d’accroître les représailles, de provoquer une confrontation imposée avec un auteur présumé ou de rendre une survivante identifiable sans nécessité.</w:t>
      </w:r>
    </w:p>
    <w:p w14:paraId="06F859D4" w14:textId="77777777" w:rsidR="00BF3328" w:rsidRPr="00D20E82" w:rsidRDefault="00507AE6">
      <w:pPr>
        <w:pStyle w:val="Heading2"/>
        <w:rPr>
          <w:rFonts w:ascii="Maiandra GD" w:hAnsi="Maiandra GD"/>
        </w:rPr>
      </w:pPr>
      <w:r w:rsidRPr="00D20E82">
        <w:rPr>
          <w:rFonts w:ascii="Maiandra GD" w:hAnsi="Maiandra GD"/>
        </w:rPr>
        <w:t>Article 13 VIH et santé sexuelle et reproductive</w:t>
      </w:r>
    </w:p>
    <w:p w14:paraId="009AC5A1" w14:textId="77777777" w:rsidR="00BF3328" w:rsidRPr="00D20E82" w:rsidRDefault="00507AE6">
      <w:pPr>
        <w:rPr>
          <w:rFonts w:ascii="Maiandra GD" w:hAnsi="Maiandra GD"/>
        </w:rPr>
      </w:pPr>
      <w:r w:rsidRPr="00D20E82">
        <w:rPr>
          <w:rFonts w:ascii="Maiandra GD" w:hAnsi="Maiandra GD"/>
        </w:rPr>
        <w:t>L’association promeut les droits des femmes vivant avec le VIH, la réduction de la stigmatisation et l’accès à des services de santé respectueux. Elle peut proposer de l’information, du soutien entre pairs et une orientation vers les structures habilitées. Ses interventions en santé sexuelle et reproductive concernent notamment le choix contraceptif volontaire, la prévention des violences sexuelles et l’accès aux soins après avortement ainsi qu’aux soins liés à l’avortement dans le cadre juridique applicable. Aucun acte réservé aux professionnels de santé ne peut être réalisé sans qualification et autorisation.</w:t>
      </w:r>
    </w:p>
    <w:p w14:paraId="4C9C5A06" w14:textId="77777777" w:rsidR="00BF3328" w:rsidRPr="00D20E82" w:rsidRDefault="00507AE6">
      <w:pPr>
        <w:pStyle w:val="Heading2"/>
        <w:rPr>
          <w:rFonts w:ascii="Maiandra GD" w:hAnsi="Maiandra GD"/>
        </w:rPr>
      </w:pPr>
      <w:r w:rsidRPr="00D20E82">
        <w:rPr>
          <w:rFonts w:ascii="Maiandra GD" w:hAnsi="Maiandra GD"/>
        </w:rPr>
        <w:t>Article 14 Handicap autonomie et inclusion sociale</w:t>
      </w:r>
    </w:p>
    <w:p w14:paraId="25367C49" w14:textId="77777777" w:rsidR="00BF3328" w:rsidRPr="00D20E82" w:rsidRDefault="00507AE6">
      <w:pPr>
        <w:rPr>
          <w:rFonts w:ascii="Maiandra GD" w:hAnsi="Maiandra GD"/>
        </w:rPr>
      </w:pPr>
      <w:r w:rsidRPr="00D20E82">
        <w:rPr>
          <w:rFonts w:ascii="Maiandra GD" w:hAnsi="Maiandra GD"/>
        </w:rPr>
        <w:t>VISUMO identifie avec les personnes concernées les obstacles physiques, sensoriels, intellectuels, financiers et sociaux à leur participation. Elle recherche des aménagements raisonnables, des informations accessibles et des modalités de consultation adaptées. Elle peut soutenir la formation, l’éducation, les compétences professionnelles, l’entraide et les initiatives économiques des femmes. Ces actions reposent sur des critères équitables, des moyens disponibles et une appréciation des risques. Une activité de subsistance ne peut imposer une dette, un travail ou une exposition publique non consentis.</w:t>
      </w:r>
    </w:p>
    <w:p w14:paraId="364AD53C" w14:textId="77777777" w:rsidR="00BF3328" w:rsidRPr="00D20E82" w:rsidRDefault="00507AE6">
      <w:pPr>
        <w:pStyle w:val="Heading2"/>
        <w:rPr>
          <w:rFonts w:ascii="Maiandra GD" w:hAnsi="Maiandra GD"/>
        </w:rPr>
      </w:pPr>
      <w:r w:rsidRPr="00D20E82">
        <w:rPr>
          <w:rFonts w:ascii="Maiandra GD" w:hAnsi="Maiandra GD"/>
        </w:rPr>
        <w:t>Article 15 Moyens et limites de l’action</w:t>
      </w:r>
    </w:p>
    <w:p w14:paraId="6FE33B08" w14:textId="77777777" w:rsidR="00BF3328" w:rsidRPr="00D20E82" w:rsidRDefault="00507AE6">
      <w:pPr>
        <w:rPr>
          <w:rFonts w:ascii="Maiandra GD" w:hAnsi="Maiandra GD"/>
        </w:rPr>
      </w:pPr>
      <w:r w:rsidRPr="00D20E82">
        <w:rPr>
          <w:rFonts w:ascii="Maiandra GD" w:hAnsi="Maiandra GD"/>
        </w:rPr>
        <w:t>L’association peut organiser des formations, des consultations communautaires, des campagnes, des études, des actions de plaidoyer et des projets avec des partenaires. Elle peut publier des ressources et mobiliser des financements conformes à sa mission. Les méthodes sont adaptées à la langue, à l’âge et aux capacités des participantes. Le Conseil d’administration vérifie les compétences, les autorisations et les garanties nécessaires avant tout nouveau service. La création d’un projet ne modifie pas automatiquement l’objet social et ne dispense pas des autorisations sectorielles requises.</w:t>
      </w:r>
    </w:p>
    <w:p w14:paraId="7B5C92BF" w14:textId="77777777" w:rsidR="00BF3328" w:rsidRPr="00D20E82" w:rsidRDefault="00507AE6">
      <w:pPr>
        <w:rPr>
          <w:rFonts w:ascii="Maiandra GD" w:hAnsi="Maiandra GD"/>
        </w:rPr>
      </w:pPr>
      <w:r w:rsidRPr="00D20E82">
        <w:rPr>
          <w:rFonts w:ascii="Maiandra GD" w:hAnsi="Maiandra GD"/>
        </w:rPr>
        <w:br w:type="page"/>
      </w:r>
    </w:p>
    <w:p w14:paraId="29769882" w14:textId="77777777" w:rsidR="00BF3328" w:rsidRPr="00D20E82" w:rsidRDefault="00507AE6">
      <w:pPr>
        <w:pStyle w:val="Heading1"/>
        <w:rPr>
          <w:rFonts w:ascii="Maiandra GD" w:hAnsi="Maiandra GD"/>
        </w:rPr>
      </w:pPr>
      <w:r w:rsidRPr="00D20E82">
        <w:rPr>
          <w:rFonts w:ascii="Maiandra GD" w:hAnsi="Maiandra GD"/>
        </w:rPr>
        <w:t>Titre IV Membres et admission</w:t>
      </w:r>
    </w:p>
    <w:p w14:paraId="45C57517" w14:textId="77777777" w:rsidR="00BF3328" w:rsidRPr="00D20E82" w:rsidRDefault="00507AE6">
      <w:pPr>
        <w:pStyle w:val="Heading2"/>
        <w:rPr>
          <w:rFonts w:ascii="Maiandra GD" w:hAnsi="Maiandra GD"/>
        </w:rPr>
      </w:pPr>
      <w:r w:rsidRPr="00D20E82">
        <w:rPr>
          <w:rFonts w:ascii="Maiandra GD" w:hAnsi="Maiandra GD"/>
        </w:rPr>
        <w:t>Article 16 Catégories de membres</w:t>
      </w:r>
    </w:p>
    <w:p w14:paraId="4329C03B" w14:textId="77777777" w:rsidR="00BF3328" w:rsidRPr="00D20E82" w:rsidRDefault="00507AE6">
      <w:pPr>
        <w:rPr>
          <w:rFonts w:ascii="Maiandra GD" w:hAnsi="Maiandra GD"/>
        </w:rPr>
      </w:pPr>
      <w:r w:rsidRPr="00D20E82">
        <w:rPr>
          <w:rFonts w:ascii="Maiandra GD" w:hAnsi="Maiandra GD"/>
        </w:rPr>
        <w:t>L’association comprend des membres effectifs et des membres d’honneur. Parmi les membres effectifs, les personnes signataires de l’acte constitutif portent la qualité de membres fondateurs. Cette qualité ne crée ni droit de veto, ni siège permanent, ni droit patrimonial. Les membres d’honneur apportent un appui reconnu à la mission et peuvent être invités aux activités sans voix délibérative. Un partenaire, un donateur, une salariée ou une participante ne devient pas membre du seul fait de cette relation avec VISUMO.</w:t>
      </w:r>
    </w:p>
    <w:p w14:paraId="33C07F36" w14:textId="77777777" w:rsidR="00BF3328" w:rsidRPr="00D20E82" w:rsidRDefault="00507AE6">
      <w:pPr>
        <w:pStyle w:val="Heading2"/>
        <w:rPr>
          <w:rFonts w:ascii="Maiandra GD" w:hAnsi="Maiandra GD"/>
        </w:rPr>
      </w:pPr>
      <w:r w:rsidRPr="00D20E82">
        <w:rPr>
          <w:rFonts w:ascii="Maiandra GD" w:hAnsi="Maiandra GD"/>
        </w:rPr>
        <w:t>Article 17 Membres effectifs et conditions d’éligibilité</w:t>
      </w:r>
    </w:p>
    <w:p w14:paraId="7ADD040B" w14:textId="77777777" w:rsidR="00BF3328" w:rsidRPr="00D20E82" w:rsidRDefault="00507AE6">
      <w:pPr>
        <w:rPr>
          <w:rFonts w:ascii="Maiandra GD" w:hAnsi="Maiandra GD"/>
        </w:rPr>
      </w:pPr>
      <w:r w:rsidRPr="00D20E82">
        <w:rPr>
          <w:rFonts w:ascii="Maiandra GD" w:hAnsi="Maiandra GD"/>
        </w:rPr>
        <w:t>L’effectif des membres effectifs ne peut être inférieur à sept. Peut demander cette qualité toute personne physique majeure qui adhère à l’objet social, accepte les statuts et s’engage à respecter les personnes accompagnées. L’admission ne dépend ni d’un statut sérologique, ni d’un récit de violence, ni d’une appartenance politique ou religieuse. Une personne ne peut acquérir un droit de vote en échange d’un financement. Les compétences, l’engagement et les liens avec les communautés guident l’ouverture de l’association.</w:t>
      </w:r>
    </w:p>
    <w:p w14:paraId="0BF11A80" w14:textId="77777777" w:rsidR="00BF3328" w:rsidRPr="00D20E82" w:rsidRDefault="00507AE6">
      <w:pPr>
        <w:pStyle w:val="Heading2"/>
        <w:rPr>
          <w:rFonts w:ascii="Maiandra GD" w:hAnsi="Maiandra GD"/>
        </w:rPr>
      </w:pPr>
      <w:r w:rsidRPr="00D20E82">
        <w:rPr>
          <w:rFonts w:ascii="Maiandra GD" w:hAnsi="Maiandra GD"/>
        </w:rPr>
        <w:t>Article 18 Procédure d’admission</w:t>
      </w:r>
    </w:p>
    <w:p w14:paraId="3B9267C2" w14:textId="77777777" w:rsidR="00BF3328" w:rsidRPr="00D20E82" w:rsidRDefault="00507AE6">
      <w:pPr>
        <w:rPr>
          <w:rFonts w:ascii="Maiandra GD" w:hAnsi="Maiandra GD"/>
        </w:rPr>
      </w:pPr>
      <w:r w:rsidRPr="00D20E82">
        <w:rPr>
          <w:rFonts w:ascii="Maiandra GD" w:hAnsi="Maiandra GD"/>
        </w:rPr>
        <w:t>La demande est adressée au Conseil d’administration par écrit ou dans une forme accessible permettant d’en conserver une trace. Elle comporte l’identité, les coordonnées utiles et l’adhésion aux textes de l’association. Le Conseil statue dans les trente jours suivant la réception des informations nécessaires et notifie sa décision. Un refus est motivé sans divulguer de données sensibles sur un tiers. La personne peut demander un réexamen à la prochaine Assemblée générale. Aucun responsable ne participe à une décision d’admission lorsqu’un intérêt personnel compromet son impartialité.</w:t>
      </w:r>
    </w:p>
    <w:p w14:paraId="7AA34D59" w14:textId="77777777" w:rsidR="00BF3328" w:rsidRPr="00D20E82" w:rsidRDefault="00507AE6">
      <w:pPr>
        <w:pStyle w:val="Heading2"/>
        <w:rPr>
          <w:rFonts w:ascii="Maiandra GD" w:hAnsi="Maiandra GD"/>
        </w:rPr>
      </w:pPr>
      <w:r w:rsidRPr="00D20E82">
        <w:rPr>
          <w:rFonts w:ascii="Maiandra GD" w:hAnsi="Maiandra GD"/>
        </w:rPr>
        <w:t>Article 19 Registre et cotisations</w:t>
      </w:r>
    </w:p>
    <w:p w14:paraId="65DB414C" w14:textId="77777777" w:rsidR="00BF3328" w:rsidRPr="00D20E82" w:rsidRDefault="00507AE6">
      <w:pPr>
        <w:rPr>
          <w:rFonts w:ascii="Maiandra GD" w:hAnsi="Maiandra GD"/>
        </w:rPr>
      </w:pPr>
      <w:r w:rsidRPr="00D20E82">
        <w:rPr>
          <w:rFonts w:ascii="Maiandra GD" w:hAnsi="Maiandra GD"/>
        </w:rPr>
        <w:t>Le Secrétariat tient un registre actualisé des membres, de leur catégorie et des décisions affectant leurs droits. Les informations recueillies sont limitées à la vie associative et aux formalités légales. L’Assemblée générale fixe les cotisations et peut prévoir des dispenses ou un paiement échelonné pour éviter l’exclusion économique. Un retard ne supprime pas automatiquement la qualité de membre ou le droit de vote. Toute mesure liée à un manquement financier suit les garanties prévues pour la discipline et tient compte des difficultés signalées.</w:t>
      </w:r>
    </w:p>
    <w:p w14:paraId="2764E517" w14:textId="77777777" w:rsidR="00BF3328" w:rsidRPr="00D20E82" w:rsidRDefault="00507AE6">
      <w:pPr>
        <w:rPr>
          <w:rFonts w:ascii="Maiandra GD" w:hAnsi="Maiandra GD"/>
        </w:rPr>
      </w:pPr>
      <w:r w:rsidRPr="00D20E82">
        <w:rPr>
          <w:rFonts w:ascii="Maiandra GD" w:hAnsi="Maiandra GD"/>
        </w:rPr>
        <w:br w:type="page"/>
      </w:r>
    </w:p>
    <w:p w14:paraId="64B56D15" w14:textId="77777777" w:rsidR="00BF3328" w:rsidRPr="00D20E82" w:rsidRDefault="00507AE6">
      <w:pPr>
        <w:pStyle w:val="Heading1"/>
        <w:rPr>
          <w:rFonts w:ascii="Maiandra GD" w:hAnsi="Maiandra GD"/>
        </w:rPr>
      </w:pPr>
      <w:r w:rsidRPr="00D20E82">
        <w:rPr>
          <w:rFonts w:ascii="Maiandra GD" w:hAnsi="Maiandra GD"/>
        </w:rPr>
        <w:t>Titre V Droits et devoirs des membres</w:t>
      </w:r>
    </w:p>
    <w:p w14:paraId="1F26B4A5" w14:textId="77777777" w:rsidR="00BF3328" w:rsidRPr="00D20E82" w:rsidRDefault="00507AE6">
      <w:pPr>
        <w:pStyle w:val="Heading2"/>
        <w:rPr>
          <w:rFonts w:ascii="Maiandra GD" w:hAnsi="Maiandra GD"/>
        </w:rPr>
      </w:pPr>
      <w:r w:rsidRPr="00D20E82">
        <w:rPr>
          <w:rFonts w:ascii="Maiandra GD" w:hAnsi="Maiandra GD"/>
        </w:rPr>
        <w:t>Article 20 Participation et égalité des droits</w:t>
      </w:r>
    </w:p>
    <w:p w14:paraId="2AECD4A4" w14:textId="77777777" w:rsidR="00BF3328" w:rsidRPr="00D20E82" w:rsidRDefault="00507AE6">
      <w:pPr>
        <w:rPr>
          <w:rFonts w:ascii="Maiandra GD" w:hAnsi="Maiandra GD"/>
        </w:rPr>
      </w:pPr>
      <w:r w:rsidRPr="00D20E82">
        <w:rPr>
          <w:rFonts w:ascii="Maiandra GD" w:hAnsi="Maiandra GD"/>
        </w:rPr>
        <w:t>Chaque membre effectif dispose d’une voix à l’Assemblée générale. Il peut proposer une question, présenter une candidature et participer aux consultations dans les conditions des présents statuts. Aucun privilège électoral ne résulte de l’ancienneté, d’une contribution financière ou de la qualité de fondateur. Les membres d’honneur interviennent avec voix consultative. Les personnes accompagnées qui ne sont pas membres peuvent être consultées sur les services sans être tenues d’adhérer à l’association pour recevoir une aide.</w:t>
      </w:r>
    </w:p>
    <w:p w14:paraId="5AA661FB" w14:textId="77777777" w:rsidR="00BF3328" w:rsidRPr="00D20E82" w:rsidRDefault="00507AE6">
      <w:pPr>
        <w:pStyle w:val="Heading2"/>
        <w:rPr>
          <w:rFonts w:ascii="Maiandra GD" w:hAnsi="Maiandra GD"/>
        </w:rPr>
      </w:pPr>
      <w:r w:rsidRPr="00D20E82">
        <w:rPr>
          <w:rFonts w:ascii="Maiandra GD" w:hAnsi="Maiandra GD"/>
        </w:rPr>
        <w:t>Article 21 Information et consultation des documents</w:t>
      </w:r>
    </w:p>
    <w:p w14:paraId="3C09C22F" w14:textId="77777777" w:rsidR="00BF3328" w:rsidRPr="00D20E82" w:rsidRDefault="00507AE6">
      <w:pPr>
        <w:rPr>
          <w:rFonts w:ascii="Maiandra GD" w:hAnsi="Maiandra GD"/>
        </w:rPr>
      </w:pPr>
      <w:r w:rsidRPr="00D20E82">
        <w:rPr>
          <w:rFonts w:ascii="Maiandra GD" w:hAnsi="Maiandra GD"/>
        </w:rPr>
        <w:t>Les membres effectifs reçoivent les convocations, les rapports d’activités et les informations nécessaires aux décisions collectives. Ils peuvent consulter les statuts, les procès-verbaux, les comptes approuvés et les principales règles internes selon des modalités raisonnables. Le droit d’information ne donne pas accès aux dossiers individuels de survivantes, aux données médicales ou aux informations protégées par la loi. Tout refus partiel de consultation doit être motivé et permettre, lorsque cela est possible, l’accès à une version anonymisée ou à une synthèse pertinente.</w:t>
      </w:r>
    </w:p>
    <w:p w14:paraId="5D6B6368" w14:textId="77777777" w:rsidR="00BF3328" w:rsidRPr="00D20E82" w:rsidRDefault="00507AE6">
      <w:pPr>
        <w:pStyle w:val="Heading2"/>
        <w:rPr>
          <w:rFonts w:ascii="Maiandra GD" w:hAnsi="Maiandra GD"/>
        </w:rPr>
      </w:pPr>
      <w:r w:rsidRPr="00D20E82">
        <w:rPr>
          <w:rFonts w:ascii="Maiandra GD" w:hAnsi="Maiandra GD"/>
        </w:rPr>
        <w:t>Article 22 Obligations communes</w:t>
      </w:r>
    </w:p>
    <w:p w14:paraId="7BD180EB" w14:textId="77777777" w:rsidR="00BF3328" w:rsidRPr="00D20E82" w:rsidRDefault="00507AE6">
      <w:pPr>
        <w:rPr>
          <w:rFonts w:ascii="Maiandra GD" w:hAnsi="Maiandra GD"/>
        </w:rPr>
      </w:pPr>
      <w:r w:rsidRPr="00D20E82">
        <w:rPr>
          <w:rFonts w:ascii="Maiandra GD" w:hAnsi="Maiandra GD"/>
        </w:rPr>
        <w:t>Les membres respectent les statuts, les décisions régulièrement adoptées et les engagements de confidentialité. Ils contribuent à la vie associative selon leurs possibilités, préservent les biens de VISUMO et déclarent les conflits d’intérêts. Ils s’abstiennent de tout harcèlement, discrimination, exploitation ou usage abusif de leur qualité de membre. Ils ne promettent ni recrutement, ni subvention, ni prestation au nom de l’association sans mandat. Toute collecte autorisée fait l’objet d’une traçabilité et d’un compte rendu à l’organe compétent.</w:t>
      </w:r>
    </w:p>
    <w:p w14:paraId="2F4BA60B" w14:textId="77777777" w:rsidR="00BF3328" w:rsidRPr="00D20E82" w:rsidRDefault="00507AE6">
      <w:pPr>
        <w:pStyle w:val="Heading2"/>
        <w:rPr>
          <w:rFonts w:ascii="Maiandra GD" w:hAnsi="Maiandra GD"/>
        </w:rPr>
      </w:pPr>
      <w:r w:rsidRPr="00D20E82">
        <w:rPr>
          <w:rFonts w:ascii="Maiandra GD" w:hAnsi="Maiandra GD"/>
        </w:rPr>
        <w:t>Article 23 Participation accessible et libre</w:t>
      </w:r>
    </w:p>
    <w:p w14:paraId="042DB26A" w14:textId="77777777" w:rsidR="00BF3328" w:rsidRPr="00D20E82" w:rsidRDefault="00507AE6">
      <w:pPr>
        <w:rPr>
          <w:rFonts w:ascii="Maiandra GD" w:hAnsi="Maiandra GD"/>
        </w:rPr>
      </w:pPr>
      <w:r w:rsidRPr="00D20E82">
        <w:rPr>
          <w:rFonts w:ascii="Maiandra GD" w:hAnsi="Maiandra GD"/>
        </w:rPr>
        <w:t>VISUMO organise les réunions de manière à réduire les obstacles à la participation des femmes, des personnes handicapées et des membres éloignés. Selon les moyens disponibles, elle adapte les horaires, les supports, les lieux et les modes d’expression. Une assistance choisie peut faciliter le vote sans en modifier le caractère personnel. Nul ne peut être contraint de soutenir une candidature, de divulguer une situation intime ou d’accomplir un travail gratuit pour conserver ses droits. Les désaccords respectueux sont admis dans le débat associatif.</w:t>
      </w:r>
    </w:p>
    <w:p w14:paraId="68224BBF" w14:textId="77777777" w:rsidR="00BF3328" w:rsidRPr="00D20E82" w:rsidRDefault="00507AE6">
      <w:pPr>
        <w:rPr>
          <w:rFonts w:ascii="Maiandra GD" w:hAnsi="Maiandra GD"/>
        </w:rPr>
      </w:pPr>
      <w:r w:rsidRPr="00D20E82">
        <w:rPr>
          <w:rFonts w:ascii="Maiandra GD" w:hAnsi="Maiandra GD"/>
        </w:rPr>
        <w:br w:type="page"/>
      </w:r>
    </w:p>
    <w:p w14:paraId="06C0C3EB" w14:textId="77777777" w:rsidR="00BF3328" w:rsidRPr="00D20E82" w:rsidRDefault="00507AE6">
      <w:pPr>
        <w:pStyle w:val="Heading1"/>
        <w:rPr>
          <w:rFonts w:ascii="Maiandra GD" w:hAnsi="Maiandra GD"/>
        </w:rPr>
      </w:pPr>
      <w:r w:rsidRPr="00D20E82">
        <w:rPr>
          <w:rFonts w:ascii="Maiandra GD" w:hAnsi="Maiandra GD"/>
        </w:rPr>
        <w:t>Titre VI Retrait discipline et recours</w:t>
      </w:r>
    </w:p>
    <w:p w14:paraId="2C28C692" w14:textId="77777777" w:rsidR="00BF3328" w:rsidRPr="00D20E82" w:rsidRDefault="00507AE6">
      <w:pPr>
        <w:pStyle w:val="Heading2"/>
        <w:rPr>
          <w:rFonts w:ascii="Maiandra GD" w:hAnsi="Maiandra GD"/>
        </w:rPr>
      </w:pPr>
      <w:r w:rsidRPr="00D20E82">
        <w:rPr>
          <w:rFonts w:ascii="Maiandra GD" w:hAnsi="Maiandra GD"/>
        </w:rPr>
        <w:t>Article 24 Retrait et autres causes de cessation</w:t>
      </w:r>
    </w:p>
    <w:p w14:paraId="33568B5C" w14:textId="77777777" w:rsidR="00BF3328" w:rsidRPr="00D20E82" w:rsidRDefault="00507AE6">
      <w:pPr>
        <w:rPr>
          <w:rFonts w:ascii="Maiandra GD" w:hAnsi="Maiandra GD"/>
        </w:rPr>
      </w:pPr>
      <w:r w:rsidRPr="00D20E82">
        <w:rPr>
          <w:rFonts w:ascii="Maiandra GD" w:hAnsi="Maiandra GD"/>
        </w:rPr>
        <w:t>Tout membre peut se retirer à tout moment par une notification permettant d’en établir la réception. La démission prend effet à la date indiquée ou, à défaut, à sa réception. La qualité de membre cesse également par décès ou par exclusion régulièrement prononcée. La sortie ne donne aucun droit sur les biens de l’association et ne permet pas d’exiger le remboursement des cotisations versées. La restitution des documents, accès et matériels confiés au membre est organisée sans faire obstacle à la liberté de retrait.</w:t>
      </w:r>
    </w:p>
    <w:p w14:paraId="1A2D045E" w14:textId="77777777" w:rsidR="00BF3328" w:rsidRPr="00D20E82" w:rsidRDefault="00507AE6">
      <w:pPr>
        <w:pStyle w:val="Heading2"/>
        <w:rPr>
          <w:rFonts w:ascii="Maiandra GD" w:hAnsi="Maiandra GD"/>
        </w:rPr>
      </w:pPr>
      <w:r w:rsidRPr="00D20E82">
        <w:rPr>
          <w:rFonts w:ascii="Maiandra GD" w:hAnsi="Maiandra GD"/>
        </w:rPr>
        <w:t>Article 25 Manquements et mesures proportionnées</w:t>
      </w:r>
    </w:p>
    <w:p w14:paraId="4C0D499D" w14:textId="77777777" w:rsidR="00BF3328" w:rsidRPr="00D20E82" w:rsidRDefault="00507AE6">
      <w:pPr>
        <w:rPr>
          <w:rFonts w:ascii="Maiandra GD" w:hAnsi="Maiandra GD"/>
        </w:rPr>
      </w:pPr>
      <w:r w:rsidRPr="00D20E82">
        <w:rPr>
          <w:rFonts w:ascii="Maiandra GD" w:hAnsi="Maiandra GD"/>
        </w:rPr>
        <w:t>Constituent notamment des manquements l’abus de pouvoir, la violence, l’exploitation sexuelle, la fraude, le détournement, la divulgation injustifiée de données sensibles et la violation grave ou répétée des textes. Selon les faits, une observation écrite, un avertissement, une suspension ou une proposition d’exclusion peut être envisagé. La mesure doit être proportionnée, motivée et cohérente avec les garanties de protection. Une critique de bonne foi, un signalement ou un désaccord avec un responsable ne constitue pas, à lui seul, un motif de sanction.</w:t>
      </w:r>
    </w:p>
    <w:p w14:paraId="34CDE01B" w14:textId="77777777" w:rsidR="00BF3328" w:rsidRPr="00D20E82" w:rsidRDefault="00507AE6">
      <w:pPr>
        <w:pStyle w:val="Heading2"/>
        <w:rPr>
          <w:rFonts w:ascii="Maiandra GD" w:hAnsi="Maiandra GD"/>
        </w:rPr>
      </w:pPr>
      <w:r w:rsidRPr="00D20E82">
        <w:rPr>
          <w:rFonts w:ascii="Maiandra GD" w:hAnsi="Maiandra GD"/>
        </w:rPr>
        <w:t>Article 26 Procédure contradictoire et exclusion</w:t>
      </w:r>
    </w:p>
    <w:p w14:paraId="591B3E01" w14:textId="77777777" w:rsidR="00BF3328" w:rsidRPr="00D20E82" w:rsidRDefault="00507AE6">
      <w:pPr>
        <w:rPr>
          <w:rFonts w:ascii="Maiandra GD" w:hAnsi="Maiandra GD"/>
        </w:rPr>
      </w:pPr>
      <w:r w:rsidRPr="00D20E82">
        <w:rPr>
          <w:rFonts w:ascii="Maiandra GD" w:hAnsi="Maiandra GD"/>
        </w:rPr>
        <w:t>La personne concernée reçoit une présentation des faits et dispose d’au moins quinze jours pour répondre, oralement ou par écrit, avec l’assistance d’une personne de confiance. Les responsables en conflit d’intérêts se retirent de l’examen. Le Conseil d’administration peut prononcer un avertissement et proposer une exclusion. Seule l’Assemblée générale prononce l’exclusion, à la majorité absolue de l’ensemble des membres effectifs. La décision expose les motifs, la date d’effet et les voies de recours, tout en protégeant les informations confidentielles.</w:t>
      </w:r>
    </w:p>
    <w:p w14:paraId="0526902C" w14:textId="77777777" w:rsidR="00BF3328" w:rsidRPr="00D20E82" w:rsidRDefault="00507AE6">
      <w:pPr>
        <w:pStyle w:val="Heading2"/>
        <w:rPr>
          <w:rFonts w:ascii="Maiandra GD" w:hAnsi="Maiandra GD"/>
        </w:rPr>
      </w:pPr>
      <w:r w:rsidRPr="00D20E82">
        <w:rPr>
          <w:rFonts w:ascii="Maiandra GD" w:hAnsi="Maiandra GD"/>
        </w:rPr>
        <w:t>Article 27 Protection provisoire et recours</w:t>
      </w:r>
    </w:p>
    <w:p w14:paraId="3375995D" w14:textId="77777777" w:rsidR="00BF3328" w:rsidRPr="00D20E82" w:rsidRDefault="00507AE6">
      <w:pPr>
        <w:rPr>
          <w:rFonts w:ascii="Maiandra GD" w:hAnsi="Maiandra GD"/>
        </w:rPr>
      </w:pPr>
      <w:r w:rsidRPr="00D20E82">
        <w:rPr>
          <w:rFonts w:ascii="Maiandra GD" w:hAnsi="Maiandra GD"/>
        </w:rPr>
        <w:t>En présence d’un risque sérieux, le Conseil peut suspendre provisoirement une fonction, un accès ou une participation pour trente jours au plus, avec réexamen motivé si la situation persiste. Cette mesure ne préjuge pas de la culpabilité et ne prive pas du droit d’être entendu. La personne peut demander un réexamen à l’Assemblée générale. Une plainte contre un administrateur est traitée sans sa participation. Les procédures internes ne remplacent pas les obligations légales de signalement et n’empêchent jamais la saisine d’une autorité compétente.</w:t>
      </w:r>
    </w:p>
    <w:p w14:paraId="41895329" w14:textId="77777777" w:rsidR="00BF3328" w:rsidRPr="00D20E82" w:rsidRDefault="00507AE6">
      <w:pPr>
        <w:rPr>
          <w:rFonts w:ascii="Maiandra GD" w:hAnsi="Maiandra GD"/>
        </w:rPr>
      </w:pPr>
      <w:r w:rsidRPr="00D20E82">
        <w:rPr>
          <w:rFonts w:ascii="Maiandra GD" w:hAnsi="Maiandra GD"/>
        </w:rPr>
        <w:br w:type="page"/>
      </w:r>
    </w:p>
    <w:p w14:paraId="4C482595" w14:textId="77777777" w:rsidR="00BF3328" w:rsidRPr="00D20E82" w:rsidRDefault="00507AE6">
      <w:pPr>
        <w:pStyle w:val="Heading1"/>
        <w:rPr>
          <w:rFonts w:ascii="Maiandra GD" w:hAnsi="Maiandra GD"/>
        </w:rPr>
      </w:pPr>
      <w:r w:rsidRPr="00D20E82">
        <w:rPr>
          <w:rFonts w:ascii="Maiandra GD" w:hAnsi="Maiandra GD"/>
        </w:rPr>
        <w:t>Titre VII Organes et Assemblée générale</w:t>
      </w:r>
    </w:p>
    <w:p w14:paraId="06D6AF3B" w14:textId="77777777" w:rsidR="00BF3328" w:rsidRPr="00D20E82" w:rsidRDefault="00507AE6">
      <w:pPr>
        <w:pStyle w:val="Heading2"/>
        <w:rPr>
          <w:rFonts w:ascii="Maiandra GD" w:hAnsi="Maiandra GD"/>
        </w:rPr>
      </w:pPr>
      <w:r w:rsidRPr="00D20E82">
        <w:rPr>
          <w:rFonts w:ascii="Maiandra GD" w:hAnsi="Maiandra GD"/>
        </w:rPr>
        <w:t>Article 28 Organisation institutionnelle</w:t>
      </w:r>
    </w:p>
    <w:p w14:paraId="750D25B3" w14:textId="77777777" w:rsidR="00BF3328" w:rsidRPr="00D20E82" w:rsidRDefault="00507AE6">
      <w:pPr>
        <w:rPr>
          <w:rFonts w:ascii="Maiandra GD" w:hAnsi="Maiandra GD"/>
        </w:rPr>
      </w:pPr>
      <w:r w:rsidRPr="00D20E82">
        <w:rPr>
          <w:rFonts w:ascii="Maiandra GD" w:hAnsi="Maiandra GD"/>
        </w:rPr>
        <w:t>VISUMO comprend l’Assemblée générale, le Conseil d’administration, la Coordination exécutive et le Commissariat au contrôle associatif. Leurs attributions sont distinctes : l’Assemblée décide des orientations et exerce les pouvoirs réservés aux membres ; le Conseil assure la surveillance et les décisions de gestion relevant de son mandat ; la Coordination met en œuvre les activités ; le Commissariat examine la régularité de la gestion. Aucun organe ne peut transférer à une personne les compétences que la loi ou les statuts réservent à un autre organe.</w:t>
      </w:r>
    </w:p>
    <w:p w14:paraId="146C37DF" w14:textId="77777777" w:rsidR="00BF3328" w:rsidRPr="00D20E82" w:rsidRDefault="00507AE6">
      <w:pPr>
        <w:pStyle w:val="Heading2"/>
        <w:rPr>
          <w:rFonts w:ascii="Maiandra GD" w:hAnsi="Maiandra GD"/>
        </w:rPr>
      </w:pPr>
      <w:r w:rsidRPr="00D20E82">
        <w:rPr>
          <w:rFonts w:ascii="Maiandra GD" w:hAnsi="Maiandra GD"/>
        </w:rPr>
        <w:t>Article 29 Composition et autorité de l’Assemblée</w:t>
      </w:r>
    </w:p>
    <w:p w14:paraId="16A81299" w14:textId="77777777" w:rsidR="00BF3328" w:rsidRPr="00D20E82" w:rsidRDefault="00507AE6">
      <w:pPr>
        <w:rPr>
          <w:rFonts w:ascii="Maiandra GD" w:hAnsi="Maiandra GD"/>
        </w:rPr>
      </w:pPr>
      <w:r w:rsidRPr="00D20E82">
        <w:rPr>
          <w:rFonts w:ascii="Maiandra GD" w:hAnsi="Maiandra GD"/>
        </w:rPr>
        <w:t>L’Assemblée générale réunit tous les membres effectifs inscrits au registre à la date de convocation, sous réserve d’une décision régulière affectant leur qualité. Elle constitue l’organe souverain de l’association dans les limites de la loi et des présents statuts. Les membres d’honneur, partenaires et personnes ressources peuvent être invités sans droit de vote. Leur présence ne compte pas dans le quorum. Une liste de présence et, le cas échéant, les procurations permettent de vérifier les droits de participation.</w:t>
      </w:r>
    </w:p>
    <w:p w14:paraId="48DE2DFB" w14:textId="77777777" w:rsidR="00BF3328" w:rsidRPr="00D20E82" w:rsidRDefault="00507AE6">
      <w:pPr>
        <w:pStyle w:val="Heading2"/>
        <w:rPr>
          <w:rFonts w:ascii="Maiandra GD" w:hAnsi="Maiandra GD"/>
        </w:rPr>
      </w:pPr>
      <w:r w:rsidRPr="00D20E82">
        <w:rPr>
          <w:rFonts w:ascii="Maiandra GD" w:hAnsi="Maiandra GD"/>
        </w:rPr>
        <w:t>Article 30 Compétences réservées</w:t>
      </w:r>
    </w:p>
    <w:p w14:paraId="0E96CB15" w14:textId="77777777" w:rsidR="00BF3328" w:rsidRPr="00D20E82" w:rsidRDefault="00507AE6">
      <w:pPr>
        <w:rPr>
          <w:rFonts w:ascii="Maiandra GD" w:hAnsi="Maiandra GD"/>
        </w:rPr>
      </w:pPr>
      <w:r w:rsidRPr="00D20E82">
        <w:rPr>
          <w:rFonts w:ascii="Maiandra GD" w:hAnsi="Maiandra GD"/>
        </w:rPr>
        <w:t>L’Assemblée générale adopte les orientations, le plan annuel et le budget ; examine les rapports ; approuve les comptes et l’affectation des résultats ; élit et révoque les responsables statutaires. Elle fixe les cotisations, statue sur les exclusions et adopte le règlement d’ordre intérieur. Elle autorise les engagements patrimoniaux majeurs définis par les présents statuts. Elle seule modifie les statuts, décide la dissolution volontaire et détermine l’affectation du patrimoine restant. Elle peut demander une mission de contrôle ou un examen indépendant sur une question précise.</w:t>
      </w:r>
    </w:p>
    <w:p w14:paraId="49F99063" w14:textId="77777777" w:rsidR="00BF3328" w:rsidRPr="00D20E82" w:rsidRDefault="00507AE6">
      <w:pPr>
        <w:pStyle w:val="Heading2"/>
        <w:rPr>
          <w:rFonts w:ascii="Maiandra GD" w:hAnsi="Maiandra GD"/>
        </w:rPr>
      </w:pPr>
      <w:r w:rsidRPr="00D20E82">
        <w:rPr>
          <w:rFonts w:ascii="Maiandra GD" w:hAnsi="Maiandra GD"/>
        </w:rPr>
        <w:t>Article 31 Sessions ordinaires et extraordinaires</w:t>
      </w:r>
    </w:p>
    <w:p w14:paraId="062502CE" w14:textId="77777777" w:rsidR="00BF3328" w:rsidRPr="00D20E82" w:rsidRDefault="00507AE6">
      <w:pPr>
        <w:rPr>
          <w:rFonts w:ascii="Maiandra GD" w:hAnsi="Maiandra GD"/>
        </w:rPr>
      </w:pPr>
      <w:r w:rsidRPr="00D20E82">
        <w:rPr>
          <w:rFonts w:ascii="Maiandra GD" w:hAnsi="Maiandra GD"/>
        </w:rPr>
        <w:t>Une session ordinaire se tient au moins une fois par an, dans les six mois suivant la clôture de l’exercice. Une session extraordinaire est convoquée lorsque les intérêts de l’association l’exigent, sur décision du Conseil ou à la demande écrite d’au moins un tiers des membres effectifs. La demande expose les questions à traiter. Le Conseil adresse la convocation dans les quinze jours. S’il s’abstient, les demandeurs peuvent procéder à la convocation, après information du Commissariat au contrôle associatif et de l’ensemble des membres.</w:t>
      </w:r>
    </w:p>
    <w:p w14:paraId="54E94E55" w14:textId="77777777" w:rsidR="00BF3328" w:rsidRPr="00D20E82" w:rsidRDefault="00507AE6">
      <w:pPr>
        <w:rPr>
          <w:rFonts w:ascii="Maiandra GD" w:hAnsi="Maiandra GD"/>
        </w:rPr>
      </w:pPr>
      <w:r w:rsidRPr="00D20E82">
        <w:rPr>
          <w:rFonts w:ascii="Maiandra GD" w:hAnsi="Maiandra GD"/>
        </w:rPr>
        <w:br w:type="page"/>
      </w:r>
    </w:p>
    <w:p w14:paraId="156F073F" w14:textId="77777777" w:rsidR="00BF3328" w:rsidRPr="00D20E82" w:rsidRDefault="00507AE6">
      <w:pPr>
        <w:pStyle w:val="Heading1"/>
        <w:rPr>
          <w:rFonts w:ascii="Maiandra GD" w:hAnsi="Maiandra GD"/>
        </w:rPr>
      </w:pPr>
      <w:r w:rsidRPr="00D20E82">
        <w:rPr>
          <w:rFonts w:ascii="Maiandra GD" w:hAnsi="Maiandra GD"/>
        </w:rPr>
        <w:t>Titre VIII Délibérations et élections</w:t>
      </w:r>
    </w:p>
    <w:p w14:paraId="5F75B2BC" w14:textId="77777777" w:rsidR="00BF3328" w:rsidRPr="00D20E82" w:rsidRDefault="00507AE6">
      <w:pPr>
        <w:pStyle w:val="Heading2"/>
        <w:rPr>
          <w:rFonts w:ascii="Maiandra GD" w:hAnsi="Maiandra GD"/>
        </w:rPr>
      </w:pPr>
      <w:r w:rsidRPr="00D20E82">
        <w:rPr>
          <w:rFonts w:ascii="Maiandra GD" w:hAnsi="Maiandra GD"/>
        </w:rPr>
        <w:t>Article 32 Convocation et préparation</w:t>
      </w:r>
    </w:p>
    <w:p w14:paraId="4156AEA3" w14:textId="77777777" w:rsidR="00BF3328" w:rsidRPr="00D20E82" w:rsidRDefault="00507AE6">
      <w:pPr>
        <w:rPr>
          <w:rFonts w:ascii="Maiandra GD" w:hAnsi="Maiandra GD"/>
        </w:rPr>
      </w:pPr>
      <w:r w:rsidRPr="00D20E82">
        <w:rPr>
          <w:rFonts w:ascii="Maiandra GD" w:hAnsi="Maiandra GD"/>
        </w:rPr>
        <w:t>La convocation précise la date, l’heure, le lieu ou le moyen de participation à distance, l’ordre du jour et les documents utiles. Elle est adressée au moins quinze jours avant une session ordinaire et vingt et un jours avant une session portant sur les statuts ou la dissolution. Une urgence motivée permet un délai de sept jours pour les autres questions. La modification des statuts, une élection, une révocation ou une dissolution ne peut être décidée sous une rubrique de questions diverses.</w:t>
      </w:r>
    </w:p>
    <w:p w14:paraId="357682F9" w14:textId="77777777" w:rsidR="00BF3328" w:rsidRPr="00D20E82" w:rsidRDefault="00507AE6">
      <w:pPr>
        <w:pStyle w:val="Heading2"/>
        <w:rPr>
          <w:rFonts w:ascii="Maiandra GD" w:hAnsi="Maiandra GD"/>
        </w:rPr>
      </w:pPr>
      <w:r w:rsidRPr="00D20E82">
        <w:rPr>
          <w:rFonts w:ascii="Maiandra GD" w:hAnsi="Maiandra GD"/>
        </w:rPr>
        <w:t>Article 33 Quorum et représentation</w:t>
      </w:r>
    </w:p>
    <w:p w14:paraId="1E8B698B" w14:textId="77777777" w:rsidR="00BF3328" w:rsidRPr="00D20E82" w:rsidRDefault="00507AE6">
      <w:pPr>
        <w:rPr>
          <w:rFonts w:ascii="Maiandra GD" w:hAnsi="Maiandra GD"/>
        </w:rPr>
      </w:pPr>
      <w:r w:rsidRPr="00D20E82">
        <w:rPr>
          <w:rFonts w:ascii="Maiandra GD" w:hAnsi="Maiandra GD"/>
        </w:rPr>
        <w:t>Sur première convocation, plus de la moitié de l’ensemble des membres effectifs doit être présente ou représentée. À défaut, une seconde session est convoquée au moins quinze jours plus tard ; elle peut traiter les affaires ordinaires avec un tiers des membres. Chaque membre présent ne peut détenir qu’une procuration écrite. Les personnes participant à distance comptent lorsqu’elles sont identifiées et peuvent réellement délibérer et voter. Ces règles n’abaissent jamais les majorités calculées sur l’ensemble des membres pour les décisions protégées.</w:t>
      </w:r>
    </w:p>
    <w:p w14:paraId="655CC03A" w14:textId="77777777" w:rsidR="00BF3328" w:rsidRPr="00D20E82" w:rsidRDefault="00507AE6">
      <w:pPr>
        <w:pStyle w:val="Heading2"/>
        <w:rPr>
          <w:rFonts w:ascii="Maiandra GD" w:hAnsi="Maiandra GD"/>
        </w:rPr>
      </w:pPr>
      <w:r w:rsidRPr="00D20E82">
        <w:rPr>
          <w:rFonts w:ascii="Maiandra GD" w:hAnsi="Maiandra GD"/>
        </w:rPr>
        <w:t>Article 34 Majorités et décisions protégées</w:t>
      </w:r>
    </w:p>
    <w:p w14:paraId="32475CE5" w14:textId="77777777" w:rsidR="00BF3328" w:rsidRPr="00D20E82" w:rsidRDefault="00507AE6">
      <w:pPr>
        <w:rPr>
          <w:rFonts w:ascii="Maiandra GD" w:hAnsi="Maiandra GD"/>
        </w:rPr>
      </w:pPr>
      <w:r w:rsidRPr="00D20E82">
        <w:rPr>
          <w:rFonts w:ascii="Maiandra GD" w:hAnsi="Maiandra GD"/>
        </w:rPr>
        <w:t>Les décisions ordinaires sont prises à plus de la moitié des suffrages exprimés ; les abstentions et bulletins nuls sont exclus. Une égalité entraîne le rejet. L’élection et la révocation des responsables statutaires exigent plus de la moitié de l’ensemble des membres effectifs. La modification des statuts exige cette même majorité et au moins deux tiers des suffrages exprimés. La dissolution exige au moins deux tiers de l’ensemble des membres effectifs. La majorité absolue correspond à la moitié de l’effectif arrondie à l’entier inférieur, augmentée d’une voix ; le seuil des deux tiers est arrondi à l’entier supérieur.</w:t>
      </w:r>
    </w:p>
    <w:p w14:paraId="76C37F46" w14:textId="77777777" w:rsidR="00BF3328" w:rsidRPr="00D20E82" w:rsidRDefault="00507AE6">
      <w:pPr>
        <w:pStyle w:val="Heading2"/>
        <w:rPr>
          <w:rFonts w:ascii="Maiandra GD" w:hAnsi="Maiandra GD"/>
        </w:rPr>
      </w:pPr>
      <w:r w:rsidRPr="00D20E82">
        <w:rPr>
          <w:rFonts w:ascii="Maiandra GD" w:hAnsi="Maiandra GD"/>
        </w:rPr>
        <w:t>Article 35 Élections et procès-verbaux</w:t>
      </w:r>
    </w:p>
    <w:p w14:paraId="44F6A893" w14:textId="77777777" w:rsidR="00BF3328" w:rsidRPr="00D20E82" w:rsidRDefault="00507AE6">
      <w:pPr>
        <w:rPr>
          <w:rFonts w:ascii="Maiandra GD" w:hAnsi="Maiandra GD"/>
        </w:rPr>
      </w:pPr>
      <w:r w:rsidRPr="00D20E82">
        <w:rPr>
          <w:rFonts w:ascii="Maiandra GD" w:hAnsi="Maiandra GD"/>
        </w:rPr>
        <w:t>Les candidatures sont examinées selon les critères annoncés avant le vote. Les élections et les décisions individuelles sensibles se déroulent au scrutin secret, avec une assistance accessible préservant la liberté du choix. Une commission de séance composée de membres non candidats surveille le dépouillement. Si aucun candidat n’atteint la majorité requise, un nouveau tour ou une nouvelle session est organisé sans abaisser le seuil légal. Les procès-verbaux consignent les présences, conflits déclarés, résultats et résolutions ; ils sont signés par la présidence de séance et le secrétariat.</w:t>
      </w:r>
    </w:p>
    <w:p w14:paraId="45ADEAE4" w14:textId="77777777" w:rsidR="00BF3328" w:rsidRPr="00D20E82" w:rsidRDefault="00507AE6">
      <w:pPr>
        <w:rPr>
          <w:rFonts w:ascii="Maiandra GD" w:hAnsi="Maiandra GD"/>
        </w:rPr>
      </w:pPr>
      <w:r w:rsidRPr="00D20E82">
        <w:rPr>
          <w:rFonts w:ascii="Maiandra GD" w:hAnsi="Maiandra GD"/>
        </w:rPr>
        <w:br w:type="page"/>
      </w:r>
    </w:p>
    <w:p w14:paraId="3C18FE5A" w14:textId="77777777" w:rsidR="00BF3328" w:rsidRPr="00D20E82" w:rsidRDefault="00507AE6">
      <w:pPr>
        <w:pStyle w:val="Heading1"/>
        <w:rPr>
          <w:rFonts w:ascii="Maiandra GD" w:hAnsi="Maiandra GD"/>
        </w:rPr>
      </w:pPr>
      <w:r w:rsidRPr="00D20E82">
        <w:rPr>
          <w:rFonts w:ascii="Maiandra GD" w:hAnsi="Maiandra GD"/>
        </w:rPr>
        <w:t>Titre IX Conseil d’administration</w:t>
      </w:r>
    </w:p>
    <w:p w14:paraId="25E28E26" w14:textId="77777777" w:rsidR="00BF3328" w:rsidRPr="00D20E82" w:rsidRDefault="00507AE6">
      <w:pPr>
        <w:pStyle w:val="Heading2"/>
        <w:rPr>
          <w:rFonts w:ascii="Maiandra GD" w:hAnsi="Maiandra GD"/>
        </w:rPr>
      </w:pPr>
      <w:r w:rsidRPr="00D20E82">
        <w:rPr>
          <w:rFonts w:ascii="Maiandra GD" w:hAnsi="Maiandra GD"/>
        </w:rPr>
        <w:t>Article 36 Composition et représentation</w:t>
      </w:r>
    </w:p>
    <w:p w14:paraId="7F741E45" w14:textId="77777777" w:rsidR="00BF3328" w:rsidRPr="00D20E82" w:rsidRDefault="00507AE6">
      <w:pPr>
        <w:rPr>
          <w:rFonts w:ascii="Maiandra GD" w:hAnsi="Maiandra GD"/>
        </w:rPr>
      </w:pPr>
      <w:r w:rsidRPr="00D20E82">
        <w:rPr>
          <w:rFonts w:ascii="Maiandra GD" w:hAnsi="Maiandra GD"/>
        </w:rPr>
        <w:t>Le Conseil d’administration comprend cinq membres effectifs : une présidence, une vice-présidence, un secrétariat, une trésorerie et une fonction de conseil. Il compte au moins trois femmes. Les élections recherchent une représentation réelle des communautés concernées, notamment des personnes en situation de handicap, sans imposer la divulgation d’une violence vécue ou d’un statut sérologique. Les candidatures sont appréciées sur l’engagement, la disponibilité, les compétences et la capacité à agir dans l’intérêt collectif. Aucun siège n’appartient définitivement à une personne ou à une famille.</w:t>
      </w:r>
    </w:p>
    <w:p w14:paraId="24BA2E6F" w14:textId="77777777" w:rsidR="00BF3328" w:rsidRPr="00D20E82" w:rsidRDefault="00507AE6">
      <w:pPr>
        <w:pStyle w:val="Heading2"/>
        <w:rPr>
          <w:rFonts w:ascii="Maiandra GD" w:hAnsi="Maiandra GD"/>
        </w:rPr>
      </w:pPr>
      <w:r w:rsidRPr="00D20E82">
        <w:rPr>
          <w:rFonts w:ascii="Maiandra GD" w:hAnsi="Maiandra GD"/>
        </w:rPr>
        <w:t>Article 37 Désignation durée et fin de mandat</w:t>
      </w:r>
    </w:p>
    <w:p w14:paraId="15942B6C" w14:textId="77777777" w:rsidR="00BF3328" w:rsidRPr="00D20E82" w:rsidRDefault="00507AE6">
      <w:pPr>
        <w:rPr>
          <w:rFonts w:ascii="Maiandra GD" w:hAnsi="Maiandra GD"/>
        </w:rPr>
      </w:pPr>
      <w:r w:rsidRPr="00D20E82">
        <w:rPr>
          <w:rFonts w:ascii="Maiandra GD" w:hAnsi="Maiandra GD"/>
        </w:rPr>
        <w:t>Les administrateurs sont élus individuellement par l’Assemblée générale parmi les membres effectifs, selon la majorité prévue à l’article 34. Leur mandat est de trois ans, renouvelable une seule fois consécutivement. Un nouveau mandat après interruption reste soumis à une élection. La fonction prend fin par échéance, démission, décès, perte de la qualité de membre ou révocation par l’Assemblée. Une révocation est précédée d’une possibilité de présenter des observations. Un remplacement en cours de mandat n’autorise pas le Conseil à s’attribuer le pouvoir électoral de l’Assemblée.</w:t>
      </w:r>
    </w:p>
    <w:p w14:paraId="70529291" w14:textId="77777777" w:rsidR="00BF3328" w:rsidRPr="00D20E82" w:rsidRDefault="00507AE6">
      <w:pPr>
        <w:pStyle w:val="Heading2"/>
        <w:rPr>
          <w:rFonts w:ascii="Maiandra GD" w:hAnsi="Maiandra GD"/>
        </w:rPr>
      </w:pPr>
      <w:r w:rsidRPr="00D20E82">
        <w:rPr>
          <w:rFonts w:ascii="Maiandra GD" w:hAnsi="Maiandra GD"/>
        </w:rPr>
        <w:t>Article 38 Compétences du Conseil</w:t>
      </w:r>
    </w:p>
    <w:p w14:paraId="2ACDB7B1" w14:textId="77777777" w:rsidR="00BF3328" w:rsidRPr="00D20E82" w:rsidRDefault="00507AE6">
      <w:pPr>
        <w:rPr>
          <w:rFonts w:ascii="Maiandra GD" w:hAnsi="Maiandra GD"/>
        </w:rPr>
      </w:pPr>
      <w:r w:rsidRPr="00D20E82">
        <w:rPr>
          <w:rFonts w:ascii="Maiandra GD" w:hAnsi="Maiandra GD"/>
        </w:rPr>
        <w:t>Le Conseil surveille l’exécution des orientations, approuve les procédures relevant de sa compétence et suit les programmes, les finances, les risques et la protection des personnes. Il prépare les propositions soumises à l’Assemblée et veille à la mise en œuvre de ses décisions. Il autorise les contrats et les dépenses au-delà des délégations de la Coordination. Il examine les rapports périodiques, les conflits d’intérêts et les mesures correctives. Il ne peut modifier les statuts ni se substituer à l’Assemblée dans la nomination des dirigeants statutaires.</w:t>
      </w:r>
    </w:p>
    <w:p w14:paraId="310CD43F" w14:textId="77777777" w:rsidR="00BF3328" w:rsidRPr="00D20E82" w:rsidRDefault="00507AE6">
      <w:pPr>
        <w:pStyle w:val="Heading2"/>
        <w:rPr>
          <w:rFonts w:ascii="Maiandra GD" w:hAnsi="Maiandra GD"/>
        </w:rPr>
      </w:pPr>
      <w:r w:rsidRPr="00D20E82">
        <w:rPr>
          <w:rFonts w:ascii="Maiandra GD" w:hAnsi="Maiandra GD"/>
        </w:rPr>
        <w:t>Article 39 Vacance et continuité</w:t>
      </w:r>
    </w:p>
    <w:p w14:paraId="543751A6" w14:textId="77777777" w:rsidR="00BF3328" w:rsidRPr="00D20E82" w:rsidRDefault="00507AE6">
      <w:pPr>
        <w:rPr>
          <w:rFonts w:ascii="Maiandra GD" w:hAnsi="Maiandra GD"/>
        </w:rPr>
      </w:pPr>
      <w:r w:rsidRPr="00D20E82">
        <w:rPr>
          <w:rFonts w:ascii="Maiandra GD" w:hAnsi="Maiandra GD"/>
        </w:rPr>
        <w:t>Une vacance est constatée par écrit et portée à la connaissance des membres. L’Assemblée pourvoit au siège pour la durée restante du mandat, dans les soixante jours si le fonctionnement du Conseil est compromis. Dans l’intervalle, les fonctions peuvent être réparties entre les administrateurs en exercice, sans créer un nouveau mandat élu. Si le nombre d’administrateurs devient inférieur à trois, seuls les actes conservatoires et la convocation de l’Assemblée sont autorisés. Les limites de mandats ne sont pas effacées par un changement d’intitulé de fonction.</w:t>
      </w:r>
    </w:p>
    <w:p w14:paraId="69442232" w14:textId="77777777" w:rsidR="00BF3328" w:rsidRPr="00D20E82" w:rsidRDefault="00507AE6">
      <w:pPr>
        <w:rPr>
          <w:rFonts w:ascii="Maiandra GD" w:hAnsi="Maiandra GD"/>
        </w:rPr>
      </w:pPr>
      <w:r w:rsidRPr="00D20E82">
        <w:rPr>
          <w:rFonts w:ascii="Maiandra GD" w:hAnsi="Maiandra GD"/>
        </w:rPr>
        <w:br w:type="page"/>
      </w:r>
    </w:p>
    <w:p w14:paraId="75E0D0A5" w14:textId="77777777" w:rsidR="00BF3328" w:rsidRPr="00D20E82" w:rsidRDefault="00507AE6">
      <w:pPr>
        <w:pStyle w:val="Heading1"/>
        <w:rPr>
          <w:rFonts w:ascii="Maiandra GD" w:hAnsi="Maiandra GD"/>
        </w:rPr>
      </w:pPr>
      <w:r w:rsidRPr="00D20E82">
        <w:rPr>
          <w:rFonts w:ascii="Maiandra GD" w:hAnsi="Maiandra GD"/>
        </w:rPr>
        <w:t>Titre X Fonctionnement et responsabilités du Conseil</w:t>
      </w:r>
    </w:p>
    <w:p w14:paraId="4CB14D24" w14:textId="77777777" w:rsidR="00BF3328" w:rsidRPr="00D20E82" w:rsidRDefault="00507AE6">
      <w:pPr>
        <w:pStyle w:val="Heading2"/>
        <w:rPr>
          <w:rFonts w:ascii="Maiandra GD" w:hAnsi="Maiandra GD"/>
        </w:rPr>
      </w:pPr>
      <w:r w:rsidRPr="00D20E82">
        <w:rPr>
          <w:rFonts w:ascii="Maiandra GD" w:hAnsi="Maiandra GD"/>
        </w:rPr>
        <w:t>Article 40 Réunions et délibérations</w:t>
      </w:r>
    </w:p>
    <w:p w14:paraId="48E93A04" w14:textId="77777777" w:rsidR="00BF3328" w:rsidRPr="00D20E82" w:rsidRDefault="00507AE6">
      <w:pPr>
        <w:rPr>
          <w:rFonts w:ascii="Maiandra GD" w:hAnsi="Maiandra GD"/>
        </w:rPr>
      </w:pPr>
      <w:r w:rsidRPr="00D20E82">
        <w:rPr>
          <w:rFonts w:ascii="Maiandra GD" w:hAnsi="Maiandra GD"/>
        </w:rPr>
        <w:t>Le Conseil se réunit au moins une fois par trimestre et en session exceptionnelle sur demande de la présidence ou de deux administrateurs. Sauf urgence motivée, les documents sont communiqués sept jours avant la réunion. Trois administrateurs non empêchés par un conflit d’intérêts constituent le quorum. Les décisions requièrent au moins trois voix favorables ; aucune voix prépondérante n’est attribuée à la présidence. Le vote par procuration est exclu. La participation à distance est admise lorsque l’identité et la participation effective sont vérifiables.</w:t>
      </w:r>
    </w:p>
    <w:p w14:paraId="3663806C" w14:textId="77777777" w:rsidR="00BF3328" w:rsidRPr="00D20E82" w:rsidRDefault="00507AE6">
      <w:pPr>
        <w:pStyle w:val="Heading2"/>
        <w:rPr>
          <w:rFonts w:ascii="Maiandra GD" w:hAnsi="Maiandra GD"/>
        </w:rPr>
      </w:pPr>
      <w:r w:rsidRPr="00D20E82">
        <w:rPr>
          <w:rFonts w:ascii="Maiandra GD" w:hAnsi="Maiandra GD"/>
        </w:rPr>
        <w:t>Article 41 Présidence et vice-présidence</w:t>
      </w:r>
    </w:p>
    <w:p w14:paraId="22428854" w14:textId="77777777" w:rsidR="00BF3328" w:rsidRPr="00D20E82" w:rsidRDefault="00507AE6">
      <w:pPr>
        <w:rPr>
          <w:rFonts w:ascii="Maiandra GD" w:hAnsi="Maiandra GD"/>
        </w:rPr>
      </w:pPr>
      <w:r w:rsidRPr="00D20E82">
        <w:rPr>
          <w:rFonts w:ascii="Maiandra GD" w:hAnsi="Maiandra GD"/>
        </w:rPr>
        <w:t>La présidence veille au fonctionnement régulier des organes, convoque les réunions et assure la représentation institutionnelle dans les limites de son mandat. Elle signe les actes autorisés et suit les décisions du Conseil sans diriger seule les dépenses ou le recrutement. La vice-présidence assure un remplacement temporaire documenté et les missions expressément confiées. Une absence prolongée donne lieu à une décision du Conseil et, si nécessaire, de l’Assemblée. Ces fonctions ne permettent pas de modifier un engagement collectif sans nouvelle autorisation de l’organe compétent.</w:t>
      </w:r>
    </w:p>
    <w:p w14:paraId="6D74B0DD" w14:textId="77777777" w:rsidR="00BF3328" w:rsidRPr="00D20E82" w:rsidRDefault="00507AE6">
      <w:pPr>
        <w:pStyle w:val="Heading2"/>
        <w:rPr>
          <w:rFonts w:ascii="Maiandra GD" w:hAnsi="Maiandra GD"/>
        </w:rPr>
      </w:pPr>
      <w:r w:rsidRPr="00D20E82">
        <w:rPr>
          <w:rFonts w:ascii="Maiandra GD" w:hAnsi="Maiandra GD"/>
        </w:rPr>
        <w:t>Article 42 Secrétariat trésorerie et conseil</w:t>
      </w:r>
    </w:p>
    <w:p w14:paraId="30B210E3" w14:textId="77777777" w:rsidR="00BF3328" w:rsidRPr="00D20E82" w:rsidRDefault="00507AE6">
      <w:pPr>
        <w:rPr>
          <w:rFonts w:ascii="Maiandra GD" w:hAnsi="Maiandra GD"/>
        </w:rPr>
      </w:pPr>
      <w:r w:rsidRPr="00D20E82">
        <w:rPr>
          <w:rFonts w:ascii="Maiandra GD" w:hAnsi="Maiandra GD"/>
        </w:rPr>
        <w:t>Le secrétariat organise les convocations, tient les procès-verbaux et veille à la conservation des textes et du registre des membres. La trésorerie examine les budgets, les situations financières et les rapprochements ; elle alerte le Conseil sur les écarts et ne se substitue pas à la tenue quotidienne des comptes. La fonction de conseil contribue aux analyses et aux missions décidées collectivement. Chaque administrateur reçoit les informations nécessaires à sa responsabilité et peut demander l’inscription d’une réserve au procès-verbal.</w:t>
      </w:r>
    </w:p>
    <w:p w14:paraId="3A3E9F05" w14:textId="77777777" w:rsidR="00BF3328" w:rsidRPr="00D20E82" w:rsidRDefault="00507AE6">
      <w:pPr>
        <w:pStyle w:val="Heading2"/>
        <w:rPr>
          <w:rFonts w:ascii="Maiandra GD" w:hAnsi="Maiandra GD"/>
        </w:rPr>
      </w:pPr>
      <w:r w:rsidRPr="00D20E82">
        <w:rPr>
          <w:rFonts w:ascii="Maiandra GD" w:hAnsi="Maiandra GD"/>
        </w:rPr>
        <w:t>Article 43 Intégrité incompatibilités et responsabilité</w:t>
      </w:r>
    </w:p>
    <w:p w14:paraId="0F675265" w14:textId="77777777" w:rsidR="00BF3328" w:rsidRPr="00D20E82" w:rsidRDefault="00507AE6">
      <w:pPr>
        <w:rPr>
          <w:rFonts w:ascii="Maiandra GD" w:hAnsi="Maiandra GD"/>
        </w:rPr>
      </w:pPr>
      <w:r w:rsidRPr="00D20E82">
        <w:rPr>
          <w:rFonts w:ascii="Maiandra GD" w:hAnsi="Maiandra GD"/>
        </w:rPr>
        <w:t>La qualité d’administrateur est incompatible avec la direction exécutive et le contrôle associatif indépendant. Les administrateurs exercent bénévolement ; leurs frais utiles et justifiés peuvent être remboursés suivant une règle commune. Toute prestation rémunérée exceptionnelle exige une décision désintéressée, une justification et une information de l’Assemblée. Les intérêts familiaux, professionnels et financiers sont déclarés. La personne concernée quitte la délibération et ne vote pas. Si les retraits empêchent le quorum, la question est soumise à l’Assemblée. Le procès-verbal permet de vérifier l’indépendance de la décision.</w:t>
      </w:r>
    </w:p>
    <w:p w14:paraId="09D09C6D" w14:textId="77777777" w:rsidR="00BF3328" w:rsidRPr="00D20E82" w:rsidRDefault="00507AE6">
      <w:pPr>
        <w:rPr>
          <w:rFonts w:ascii="Maiandra GD" w:hAnsi="Maiandra GD"/>
        </w:rPr>
      </w:pPr>
      <w:r w:rsidRPr="00D20E82">
        <w:rPr>
          <w:rFonts w:ascii="Maiandra GD" w:hAnsi="Maiandra GD"/>
        </w:rPr>
        <w:br w:type="page"/>
      </w:r>
    </w:p>
    <w:p w14:paraId="230DA9C3" w14:textId="77777777" w:rsidR="00BF3328" w:rsidRPr="00D20E82" w:rsidRDefault="00507AE6">
      <w:pPr>
        <w:pStyle w:val="Heading1"/>
        <w:rPr>
          <w:rFonts w:ascii="Maiandra GD" w:hAnsi="Maiandra GD"/>
        </w:rPr>
      </w:pPr>
      <w:r w:rsidRPr="00D20E82">
        <w:rPr>
          <w:rFonts w:ascii="Maiandra GD" w:hAnsi="Maiandra GD"/>
        </w:rPr>
        <w:t>Titre XI Coordination et ressources humaines</w:t>
      </w:r>
    </w:p>
    <w:p w14:paraId="5E365F1A" w14:textId="77777777" w:rsidR="00BF3328" w:rsidRPr="00D20E82" w:rsidRDefault="00507AE6">
      <w:pPr>
        <w:pStyle w:val="Heading2"/>
        <w:rPr>
          <w:rFonts w:ascii="Maiandra GD" w:hAnsi="Maiandra GD"/>
        </w:rPr>
      </w:pPr>
      <w:r w:rsidRPr="00D20E82">
        <w:rPr>
          <w:rFonts w:ascii="Maiandra GD" w:hAnsi="Maiandra GD"/>
        </w:rPr>
        <w:t>Article 44 Désignation de la Coordination exécutive</w:t>
      </w:r>
    </w:p>
    <w:p w14:paraId="66EB4A4D" w14:textId="77777777" w:rsidR="00BF3328" w:rsidRPr="00D20E82" w:rsidRDefault="00507AE6">
      <w:pPr>
        <w:rPr>
          <w:rFonts w:ascii="Maiandra GD" w:hAnsi="Maiandra GD"/>
        </w:rPr>
      </w:pPr>
      <w:r w:rsidRPr="00D20E82">
        <w:rPr>
          <w:rFonts w:ascii="Maiandra GD" w:hAnsi="Maiandra GD"/>
        </w:rPr>
        <w:t>La Coordination exécutive est conduite par une personne membre effectif, choisie et révoquée par la majorité de l’ensemble des membres effectifs réunis en Assemblée générale. Le Conseil organise une procédure fondée sur les compétences et soumet une proposition à l’Assemblée. La fonction est incompatible avec un siège au Conseil ou au Commissariat au contrôle associatif. Le mandat statutaire est de trois ans et peut être renouvelé après évaluation. Il est distinct d’un éventuel contrat de travail, dont les droits et obligations demeurent régis par la législation applicable.</w:t>
      </w:r>
    </w:p>
    <w:p w14:paraId="6B8E4E5A" w14:textId="77777777" w:rsidR="00BF3328" w:rsidRPr="00D20E82" w:rsidRDefault="00507AE6">
      <w:pPr>
        <w:pStyle w:val="Heading2"/>
        <w:rPr>
          <w:rFonts w:ascii="Maiandra GD" w:hAnsi="Maiandra GD"/>
        </w:rPr>
      </w:pPr>
      <w:r w:rsidRPr="00D20E82">
        <w:rPr>
          <w:rFonts w:ascii="Maiandra GD" w:hAnsi="Maiandra GD"/>
        </w:rPr>
        <w:t>Article 45 Attributions et obligations de compte rendu</w:t>
      </w:r>
    </w:p>
    <w:p w14:paraId="4D60BF7E" w14:textId="77777777" w:rsidR="00BF3328" w:rsidRPr="00D20E82" w:rsidRDefault="00507AE6">
      <w:pPr>
        <w:rPr>
          <w:rFonts w:ascii="Maiandra GD" w:hAnsi="Maiandra GD"/>
        </w:rPr>
      </w:pPr>
      <w:r w:rsidRPr="00D20E82">
        <w:rPr>
          <w:rFonts w:ascii="Maiandra GD" w:hAnsi="Maiandra GD"/>
        </w:rPr>
        <w:t>La Coordination met en œuvre les programmes, prépare le budget et les rapports, organise le travail des équipes et assure les relations opérationnelles. Elle engage les dépenses dans les limites écrites qui lui sont accordées. Elle informe régulièrement le Conseil des résultats, des risques, des plaintes graves et des écarts financiers. Elle ne peut ouvrir un compte, contracter un emprunt ou engager un nouveau programme hors budget sans autorisation. Toute délégation à un collaborateur précise l’objet, les limites, la durée et les modalités de contrôle.</w:t>
      </w:r>
    </w:p>
    <w:p w14:paraId="139F14BA" w14:textId="77777777" w:rsidR="00BF3328" w:rsidRPr="00D20E82" w:rsidRDefault="00507AE6">
      <w:pPr>
        <w:pStyle w:val="Heading2"/>
        <w:rPr>
          <w:rFonts w:ascii="Maiandra GD" w:hAnsi="Maiandra GD"/>
        </w:rPr>
      </w:pPr>
      <w:r w:rsidRPr="00D20E82">
        <w:rPr>
          <w:rFonts w:ascii="Maiandra GD" w:hAnsi="Maiandra GD"/>
        </w:rPr>
        <w:t>Article 46 Recrutement et conditions de travail</w:t>
      </w:r>
    </w:p>
    <w:p w14:paraId="58EACFC7" w14:textId="77777777" w:rsidR="00BF3328" w:rsidRPr="00D20E82" w:rsidRDefault="00507AE6">
      <w:pPr>
        <w:rPr>
          <w:rFonts w:ascii="Maiandra GD" w:hAnsi="Maiandra GD"/>
        </w:rPr>
      </w:pPr>
      <w:r w:rsidRPr="00D20E82">
        <w:rPr>
          <w:rFonts w:ascii="Maiandra GD" w:hAnsi="Maiandra GD"/>
        </w:rPr>
        <w:t>Les recrutements reposent sur des besoins approuvés, des critères objectifs et une sélection traçable. Les compétences, l’égalité des chances et les aménagements raisonnables sont pris en compte. Aucun membre ne bénéficie d’une priorité automatique sur un emploi ou un contrat. Les personnes participant à une sélection déclarent leurs liens avec les candidats. Les contrats, la rémunération, la sécurité au travail et les obligations sociales sont traités conformément au droit applicable. Le retrait d’un mandat associatif ne vaut pas, à lui seul, rupture régulière d’un contrat de travail.</w:t>
      </w:r>
    </w:p>
    <w:p w14:paraId="4331E593" w14:textId="77777777" w:rsidR="00BF3328" w:rsidRPr="00D20E82" w:rsidRDefault="00507AE6">
      <w:pPr>
        <w:pStyle w:val="Heading2"/>
        <w:rPr>
          <w:rFonts w:ascii="Maiandra GD" w:hAnsi="Maiandra GD"/>
        </w:rPr>
      </w:pPr>
      <w:r w:rsidRPr="00D20E82">
        <w:rPr>
          <w:rFonts w:ascii="Maiandra GD" w:hAnsi="Maiandra GD"/>
        </w:rPr>
        <w:t>Article 47 Bénévolat conduite et délégations</w:t>
      </w:r>
    </w:p>
    <w:p w14:paraId="6C4121E6" w14:textId="77777777" w:rsidR="00BF3328" w:rsidRPr="00D20E82" w:rsidRDefault="00507AE6">
      <w:pPr>
        <w:rPr>
          <w:rFonts w:ascii="Maiandra GD" w:hAnsi="Maiandra GD"/>
        </w:rPr>
      </w:pPr>
      <w:r w:rsidRPr="00D20E82">
        <w:rPr>
          <w:rFonts w:ascii="Maiandra GD" w:hAnsi="Maiandra GD"/>
        </w:rPr>
        <w:t>Les bénévoles, stagiaires et personnes ressources reçoivent une mission clairement définie et une information sur leurs responsabilités. Ils sont soumis aux exigences de confidentialité, de prévention des abus et de respect des personnes. Leur contribution ne crée pas un mandat de représentation ni un droit sur les ressources. L’association évite de confier des tâches spécialisées à des personnes non qualifiées. Les clés, matériels et accès numériques sont attribués selon les besoins, revus lors des changements de fonction et retirés à la fin de la mission.</w:t>
      </w:r>
    </w:p>
    <w:p w14:paraId="19BE6B2B" w14:textId="77777777" w:rsidR="00BF3328" w:rsidRPr="00D20E82" w:rsidRDefault="00507AE6">
      <w:pPr>
        <w:rPr>
          <w:rFonts w:ascii="Maiandra GD" w:hAnsi="Maiandra GD"/>
        </w:rPr>
      </w:pPr>
      <w:r w:rsidRPr="00D20E82">
        <w:rPr>
          <w:rFonts w:ascii="Maiandra GD" w:hAnsi="Maiandra GD"/>
        </w:rPr>
        <w:br w:type="page"/>
      </w:r>
    </w:p>
    <w:p w14:paraId="392218C7" w14:textId="77777777" w:rsidR="00BF3328" w:rsidRPr="00D20E82" w:rsidRDefault="00507AE6">
      <w:pPr>
        <w:pStyle w:val="Heading1"/>
        <w:rPr>
          <w:rFonts w:ascii="Maiandra GD" w:hAnsi="Maiandra GD"/>
        </w:rPr>
      </w:pPr>
      <w:r w:rsidRPr="00D20E82">
        <w:rPr>
          <w:rFonts w:ascii="Maiandra GD" w:hAnsi="Maiandra GD"/>
        </w:rPr>
        <w:t>Titre XII Contrôle et redevabilité</w:t>
      </w:r>
    </w:p>
    <w:p w14:paraId="6C1D610F" w14:textId="77777777" w:rsidR="00BF3328" w:rsidRPr="00D20E82" w:rsidRDefault="00507AE6">
      <w:pPr>
        <w:pStyle w:val="Heading2"/>
        <w:rPr>
          <w:rFonts w:ascii="Maiandra GD" w:hAnsi="Maiandra GD"/>
        </w:rPr>
      </w:pPr>
      <w:r w:rsidRPr="00D20E82">
        <w:rPr>
          <w:rFonts w:ascii="Maiandra GD" w:hAnsi="Maiandra GD"/>
        </w:rPr>
        <w:t>Article 48 Commissariat au contrôle associatif</w:t>
      </w:r>
    </w:p>
    <w:p w14:paraId="3E216354" w14:textId="77777777" w:rsidR="00BF3328" w:rsidRPr="00D20E82" w:rsidRDefault="00507AE6">
      <w:pPr>
        <w:rPr>
          <w:rFonts w:ascii="Maiandra GD" w:hAnsi="Maiandra GD"/>
        </w:rPr>
      </w:pPr>
      <w:r w:rsidRPr="00D20E82">
        <w:rPr>
          <w:rFonts w:ascii="Maiandra GD" w:hAnsi="Maiandra GD"/>
        </w:rPr>
        <w:t>L’Assemblée générale élit parmi les membres effectifs une personne chargée du contrôle associatif pour deux ans, avec un seul renouvellement consécutif. Elle doit disposer de compétences suffisantes en gestion, en lecture financière ou en contrôle et pouvoir demander un appui spécialisé indépendant. Elle ne peut être administratrice, salariée, signataire bancaire ni responsable d’une opération qu’elle examine. Elle est choisie et révoquée selon la majorité absolue de l’ensemble des membres effectifs. Ce mandat de contrôle interne ne confère pas la qualité professionnelle d’auditeur légal.</w:t>
      </w:r>
    </w:p>
    <w:p w14:paraId="21EC5021" w14:textId="77777777" w:rsidR="00BF3328" w:rsidRPr="00D20E82" w:rsidRDefault="00507AE6">
      <w:pPr>
        <w:pStyle w:val="Heading2"/>
        <w:rPr>
          <w:rFonts w:ascii="Maiandra GD" w:hAnsi="Maiandra GD"/>
        </w:rPr>
      </w:pPr>
      <w:r w:rsidRPr="00D20E82">
        <w:rPr>
          <w:rFonts w:ascii="Maiandra GD" w:hAnsi="Maiandra GD"/>
        </w:rPr>
        <w:t>Article 49 Mission et accès aux pièces</w:t>
      </w:r>
    </w:p>
    <w:p w14:paraId="01CAC7D3" w14:textId="77777777" w:rsidR="00BF3328" w:rsidRPr="00D20E82" w:rsidRDefault="00507AE6">
      <w:pPr>
        <w:rPr>
          <w:rFonts w:ascii="Maiandra GD" w:hAnsi="Maiandra GD"/>
        </w:rPr>
      </w:pPr>
      <w:r w:rsidRPr="00D20E82">
        <w:rPr>
          <w:rFonts w:ascii="Maiandra GD" w:hAnsi="Maiandra GD"/>
        </w:rPr>
        <w:t>Le Commissariat examine la régularité des décisions, l’utilisation des ressources et l’application des contrôles essentiels. Il accède aux pièces nécessaires, sous engagement de confidentialité, et peut entendre les personnes concernées. Il ne prépare ni n’autorise les opérations qu’il contrôle. Les données individuelles de protection ne lui sont transmises que dans la mesure indispensable à sa mission, de préférence sous une forme anonymisée. Un refus de pièce est motivé par écrit ; un obstacle injustifié est porté devant l’Assemblée générale.</w:t>
      </w:r>
    </w:p>
    <w:p w14:paraId="5B60A837" w14:textId="77777777" w:rsidR="00BF3328" w:rsidRPr="00D20E82" w:rsidRDefault="00507AE6">
      <w:pPr>
        <w:pStyle w:val="Heading2"/>
        <w:rPr>
          <w:rFonts w:ascii="Maiandra GD" w:hAnsi="Maiandra GD"/>
        </w:rPr>
      </w:pPr>
      <w:r w:rsidRPr="00D20E82">
        <w:rPr>
          <w:rFonts w:ascii="Maiandra GD" w:hAnsi="Maiandra GD"/>
        </w:rPr>
        <w:t>Article 50 Rapports et suivi des recommandations</w:t>
      </w:r>
    </w:p>
    <w:p w14:paraId="26223986" w14:textId="77777777" w:rsidR="00BF3328" w:rsidRPr="00D20E82" w:rsidRDefault="00507AE6">
      <w:pPr>
        <w:rPr>
          <w:rFonts w:ascii="Maiandra GD" w:hAnsi="Maiandra GD"/>
        </w:rPr>
      </w:pPr>
      <w:r w:rsidRPr="00D20E82">
        <w:rPr>
          <w:rFonts w:ascii="Maiandra GD" w:hAnsi="Maiandra GD"/>
        </w:rPr>
        <w:t>Un rapport annuel indépendant est présenté à l’Assemblée avant l’approbation des comptes. Il distingue les vérifications réalisées, leurs limites, les anomalies établies et les recommandations. Les responsables concernés peuvent fournir une réponse écrite qui est jointe au rapport sans en modifier les conclusions. Les risques graves sont signalés sans attendre la session annuelle. Le Conseil adopte un plan de correction avec responsables et échéances, puis rend compte de son avancement. L’absence de moyens pour un contrôle complet doit être exposée aux membres.</w:t>
      </w:r>
    </w:p>
    <w:p w14:paraId="0A05979C" w14:textId="77777777" w:rsidR="00BF3328" w:rsidRPr="00D20E82" w:rsidRDefault="00507AE6">
      <w:pPr>
        <w:pStyle w:val="Heading2"/>
        <w:rPr>
          <w:rFonts w:ascii="Maiandra GD" w:hAnsi="Maiandra GD"/>
        </w:rPr>
      </w:pPr>
      <w:r w:rsidRPr="00D20E82">
        <w:rPr>
          <w:rFonts w:ascii="Maiandra GD" w:hAnsi="Maiandra GD"/>
        </w:rPr>
        <w:t>Article 51 Examen externe et transparence</w:t>
      </w:r>
    </w:p>
    <w:p w14:paraId="1395EB8E" w14:textId="77777777" w:rsidR="00BF3328" w:rsidRPr="00D20E82" w:rsidRDefault="00507AE6">
      <w:pPr>
        <w:rPr>
          <w:rFonts w:ascii="Maiandra GD" w:hAnsi="Maiandra GD"/>
        </w:rPr>
      </w:pPr>
      <w:r w:rsidRPr="00D20E82">
        <w:rPr>
          <w:rFonts w:ascii="Maiandra GD" w:hAnsi="Maiandra GD"/>
        </w:rPr>
        <w:t>L’Assemblée peut confier un examen ou un audit à un professionnel indépendant lorsque la loi, un contrat ou le niveau de risque le justifie. Le choix vérifie la qualification, l’indépendance et l’absence de participation à la gestion examinée. Les obligations d’audit professionnel applicables demeurent distinctes du contrôle associatif interne. Une synthèse des activités et des comptes approuvés peut être partagée avec les communautés et partenaires, en protégeant les données sensibles. Aucune contribution financière ne donne le droit de modifier des constatations ou de supprimer une alerte.</w:t>
      </w:r>
    </w:p>
    <w:p w14:paraId="797A5CAE" w14:textId="77777777" w:rsidR="00BF3328" w:rsidRPr="00D20E82" w:rsidRDefault="00507AE6">
      <w:pPr>
        <w:rPr>
          <w:rFonts w:ascii="Maiandra GD" w:hAnsi="Maiandra GD"/>
        </w:rPr>
      </w:pPr>
      <w:r w:rsidRPr="00D20E82">
        <w:rPr>
          <w:rFonts w:ascii="Maiandra GD" w:hAnsi="Maiandra GD"/>
        </w:rPr>
        <w:br w:type="page"/>
      </w:r>
    </w:p>
    <w:p w14:paraId="664284F5" w14:textId="77777777" w:rsidR="00BF3328" w:rsidRPr="00D20E82" w:rsidRDefault="00507AE6">
      <w:pPr>
        <w:pStyle w:val="Heading1"/>
        <w:rPr>
          <w:rFonts w:ascii="Maiandra GD" w:hAnsi="Maiandra GD"/>
        </w:rPr>
      </w:pPr>
      <w:r w:rsidRPr="00D20E82">
        <w:rPr>
          <w:rFonts w:ascii="Maiandra GD" w:hAnsi="Maiandra GD"/>
        </w:rPr>
        <w:t>Titre XIII Ressources et patrimoine</w:t>
      </w:r>
    </w:p>
    <w:p w14:paraId="20F38DB0" w14:textId="77777777" w:rsidR="00BF3328" w:rsidRPr="00D20E82" w:rsidRDefault="00507AE6">
      <w:pPr>
        <w:pStyle w:val="Heading2"/>
        <w:rPr>
          <w:rFonts w:ascii="Maiandra GD" w:hAnsi="Maiandra GD"/>
        </w:rPr>
      </w:pPr>
      <w:r w:rsidRPr="00D20E82">
        <w:rPr>
          <w:rFonts w:ascii="Maiandra GD" w:hAnsi="Maiandra GD"/>
        </w:rPr>
        <w:t>Article 52 Origine des ressources</w:t>
      </w:r>
    </w:p>
    <w:p w14:paraId="3A8F54E1" w14:textId="77777777" w:rsidR="00BF3328" w:rsidRPr="00D20E82" w:rsidRDefault="00507AE6">
      <w:pPr>
        <w:rPr>
          <w:rFonts w:ascii="Maiandra GD" w:hAnsi="Maiandra GD"/>
        </w:rPr>
      </w:pPr>
      <w:r w:rsidRPr="00D20E82">
        <w:rPr>
          <w:rFonts w:ascii="Maiandra GD" w:hAnsi="Maiandra GD"/>
        </w:rPr>
        <w:t>Les ressources peuvent provenir des cotisations, dons, subventions, legs acceptables, collectes autorisées, contributions en nature et revenus accessoires compatibles avec l’objet social. Leur mobilisation respecte les règles applicables et les engagements de transparence. Les dons affectés sont utilisés selon leur destination licite. Les contributions en nature sont documentées et suivies selon leur nature. Une annonce de financement ou une sélection provisoire ne constitue pas une ressource acquise permettant d’engager des dépenses sans décision ni accord exécutoire.</w:t>
      </w:r>
    </w:p>
    <w:p w14:paraId="27B82191" w14:textId="77777777" w:rsidR="00BF3328" w:rsidRPr="00D20E82" w:rsidRDefault="00507AE6">
      <w:pPr>
        <w:pStyle w:val="Heading2"/>
        <w:rPr>
          <w:rFonts w:ascii="Maiandra GD" w:hAnsi="Maiandra GD"/>
        </w:rPr>
      </w:pPr>
      <w:r w:rsidRPr="00D20E82">
        <w:rPr>
          <w:rFonts w:ascii="Maiandra GD" w:hAnsi="Maiandra GD"/>
        </w:rPr>
        <w:t>Article 53 Acceptation des financements et indépendance</w:t>
      </w:r>
    </w:p>
    <w:p w14:paraId="5DEC8BBE" w14:textId="77777777" w:rsidR="00BF3328" w:rsidRPr="00D20E82" w:rsidRDefault="00507AE6">
      <w:pPr>
        <w:rPr>
          <w:rFonts w:ascii="Maiandra GD" w:hAnsi="Maiandra GD"/>
        </w:rPr>
      </w:pPr>
      <w:r w:rsidRPr="00D20E82">
        <w:rPr>
          <w:rFonts w:ascii="Maiandra GD" w:hAnsi="Maiandra GD"/>
        </w:rPr>
        <w:t>Le Conseil apprécie les conditions d’un financement, sa compatibilité avec la mission, les coûts qu’il crée et les risques pour les personnes. Il refuse les conditions imposant une discrimination, une exploitation, une influence partisane ou une divulgation injustifiée de données. L’acceptation d’un financement important ou durable est accompagnée d’une analyse de ses obligations et de son financement complémentaire éventuel. Les engagements envers un bailleur ne peuvent réduire les compétences légales de l’Assemblée ni dispenser l’association des obligations de protection.</w:t>
      </w:r>
    </w:p>
    <w:p w14:paraId="56B9F095" w14:textId="77777777" w:rsidR="00BF3328" w:rsidRPr="00D20E82" w:rsidRDefault="00507AE6">
      <w:pPr>
        <w:pStyle w:val="Heading2"/>
        <w:rPr>
          <w:rFonts w:ascii="Maiandra GD" w:hAnsi="Maiandra GD"/>
        </w:rPr>
      </w:pPr>
      <w:r w:rsidRPr="00D20E82">
        <w:rPr>
          <w:rFonts w:ascii="Maiandra GD" w:hAnsi="Maiandra GD"/>
        </w:rPr>
        <w:t>Article 54 Affectation et inventaire des biens</w:t>
      </w:r>
    </w:p>
    <w:p w14:paraId="364F67EF" w14:textId="77777777" w:rsidR="00BF3328" w:rsidRPr="00D20E82" w:rsidRDefault="00507AE6">
      <w:pPr>
        <w:rPr>
          <w:rFonts w:ascii="Maiandra GD" w:hAnsi="Maiandra GD"/>
        </w:rPr>
      </w:pPr>
      <w:r w:rsidRPr="00D20E82">
        <w:rPr>
          <w:rFonts w:ascii="Maiandra GD" w:hAnsi="Maiandra GD"/>
        </w:rPr>
        <w:t>Les biens acquis ou reçus appartiennent à VISUMO, sous réserve des droits valablement convenus avec un tiers. Un inventaire indique au minimum leur nature, leur localisation, leur affectation et leur responsable de garde. L’usage privé non autorisé est interdit. Les dons à des participantes suivent des critères documentés et ne sont pas des avantages réservés aux membres. Les biens financés par un partenaire restent soumis aux conditions de transfert ou de restitution prévues dans l’accord concerné et aux règles légales applicables.</w:t>
      </w:r>
    </w:p>
    <w:p w14:paraId="1F531391" w14:textId="77777777" w:rsidR="00BF3328" w:rsidRPr="00D20E82" w:rsidRDefault="00507AE6">
      <w:pPr>
        <w:pStyle w:val="Heading2"/>
        <w:rPr>
          <w:rFonts w:ascii="Maiandra GD" w:hAnsi="Maiandra GD"/>
        </w:rPr>
      </w:pPr>
      <w:r w:rsidRPr="00D20E82">
        <w:rPr>
          <w:rFonts w:ascii="Maiandra GD" w:hAnsi="Maiandra GD"/>
        </w:rPr>
        <w:t>Article 55 Immobilier engagements majeurs et garanties</w:t>
      </w:r>
    </w:p>
    <w:p w14:paraId="5122700D" w14:textId="77777777" w:rsidR="00BF3328" w:rsidRPr="00D20E82" w:rsidRDefault="00507AE6">
      <w:pPr>
        <w:rPr>
          <w:rFonts w:ascii="Maiandra GD" w:hAnsi="Maiandra GD"/>
        </w:rPr>
      </w:pPr>
      <w:r w:rsidRPr="00D20E82">
        <w:rPr>
          <w:rFonts w:ascii="Maiandra GD" w:hAnsi="Maiandra GD"/>
        </w:rPr>
        <w:t>L’acquisition, l’aliénation ou l’hypothèque d’un immeuble ainsi que tout emprunt nécessitent une autorisation préalable de l’Assemblée générale. Le Conseil présente les coûts, les risques et les conditions proposées. Les biens immobiliers doivent être utiles à l’objet social et les déclarations légales sont effectuées. L’association ne garantit pas une dette personnelle et ne consent pas de prêt aux responsables ou aux membres sur ses fonds. Les actes patrimoniaux sont signés seulement après vérification de la capacité juridique et des pouvoirs nécessaires.</w:t>
      </w:r>
    </w:p>
    <w:p w14:paraId="31317C6A" w14:textId="77777777" w:rsidR="00BF3328" w:rsidRPr="00D20E82" w:rsidRDefault="00507AE6">
      <w:pPr>
        <w:rPr>
          <w:rFonts w:ascii="Maiandra GD" w:hAnsi="Maiandra GD"/>
        </w:rPr>
      </w:pPr>
      <w:r w:rsidRPr="00D20E82">
        <w:rPr>
          <w:rFonts w:ascii="Maiandra GD" w:hAnsi="Maiandra GD"/>
        </w:rPr>
        <w:br w:type="page"/>
      </w:r>
    </w:p>
    <w:p w14:paraId="527EB23E" w14:textId="77777777" w:rsidR="00BF3328" w:rsidRPr="00D20E82" w:rsidRDefault="00507AE6">
      <w:pPr>
        <w:pStyle w:val="Heading1"/>
        <w:rPr>
          <w:rFonts w:ascii="Maiandra GD" w:hAnsi="Maiandra GD"/>
        </w:rPr>
      </w:pPr>
      <w:r w:rsidRPr="00D20E82">
        <w:rPr>
          <w:rFonts w:ascii="Maiandra GD" w:hAnsi="Maiandra GD"/>
        </w:rPr>
        <w:t>Titre XIV Budget comptes et rapports financiers</w:t>
      </w:r>
    </w:p>
    <w:p w14:paraId="6188D627" w14:textId="77777777" w:rsidR="00BF3328" w:rsidRPr="00D20E82" w:rsidRDefault="00507AE6">
      <w:pPr>
        <w:pStyle w:val="Heading2"/>
        <w:rPr>
          <w:rFonts w:ascii="Maiandra GD" w:hAnsi="Maiandra GD"/>
        </w:rPr>
      </w:pPr>
      <w:r w:rsidRPr="00D20E82">
        <w:rPr>
          <w:rFonts w:ascii="Maiandra GD" w:hAnsi="Maiandra GD"/>
        </w:rPr>
        <w:t>Article 56 Exercice et budget</w:t>
      </w:r>
    </w:p>
    <w:p w14:paraId="598C8A02" w14:textId="77777777" w:rsidR="00BF3328" w:rsidRPr="00D20E82" w:rsidRDefault="00507AE6">
      <w:pPr>
        <w:rPr>
          <w:rFonts w:ascii="Maiandra GD" w:hAnsi="Maiandra GD"/>
        </w:rPr>
      </w:pPr>
      <w:r w:rsidRPr="00D20E82">
        <w:rPr>
          <w:rFonts w:ascii="Maiandra GD" w:hAnsi="Maiandra GD"/>
        </w:rPr>
        <w:t>L’exercice financier commence le 1er janvier et se termine le 31 décembre. Un premier exercice ou un exercice de clôture peut être plus court lorsque la situation juridique l’exige. La Coordination prépare un budget annuel comprenant les activités, le fonctionnement et les financements prévus. Le Conseil l’examine et le soumet à l’Assemblée avant son exécution. Une enveloppe provisoire strictement limitée aux obligations indispensables peut être autorisée par le Conseil en cas de retard, avec information rapide des membres et régularisation par l’Assemblée.</w:t>
      </w:r>
    </w:p>
    <w:p w14:paraId="7F974185" w14:textId="77777777" w:rsidR="00BF3328" w:rsidRPr="00D20E82" w:rsidRDefault="00507AE6">
      <w:pPr>
        <w:pStyle w:val="Heading2"/>
        <w:rPr>
          <w:rFonts w:ascii="Maiandra GD" w:hAnsi="Maiandra GD"/>
        </w:rPr>
      </w:pPr>
      <w:r w:rsidRPr="00D20E82">
        <w:rPr>
          <w:rFonts w:ascii="Maiandra GD" w:hAnsi="Maiandra GD"/>
        </w:rPr>
        <w:t>Article 57 Cadre comptable et traçabilité</w:t>
      </w:r>
    </w:p>
    <w:p w14:paraId="68B98081" w14:textId="77777777" w:rsidR="00BF3328" w:rsidRPr="00D20E82" w:rsidRDefault="00507AE6">
      <w:pPr>
        <w:rPr>
          <w:rFonts w:ascii="Maiandra GD" w:hAnsi="Maiandra GD"/>
        </w:rPr>
      </w:pPr>
      <w:r w:rsidRPr="00D20E82">
        <w:rPr>
          <w:rFonts w:ascii="Maiandra GD" w:hAnsi="Maiandra GD"/>
        </w:rPr>
        <w:t>L’association tient une comptabilité conforme aux règles qui lui sont applicables, notamment à l’Acte uniforme relatif au système comptable des entités à but non lucratif et au référentiel SYCEBNL. Le régime approprié à sa situation est retenu avec l’appui d’une personne compétente. Toute opération est enregistrée sur la base de pièces vérifiables. Les ressources affectées à un projet sont identifiables sans exclure leur intégration dans les comptes de l’association. Les paiements en espèces, en banque ou par moyen électronique sont soumis à la même exigence de justification.</w:t>
      </w:r>
    </w:p>
    <w:p w14:paraId="2F83B200" w14:textId="77777777" w:rsidR="00BF3328" w:rsidRPr="00D20E82" w:rsidRDefault="00507AE6">
      <w:pPr>
        <w:pStyle w:val="Heading2"/>
        <w:rPr>
          <w:rFonts w:ascii="Maiandra GD" w:hAnsi="Maiandra GD"/>
        </w:rPr>
      </w:pPr>
      <w:r w:rsidRPr="00D20E82">
        <w:rPr>
          <w:rFonts w:ascii="Maiandra GD" w:hAnsi="Maiandra GD"/>
        </w:rPr>
        <w:t>Article 58 Établissement et approbation des comptes</w:t>
      </w:r>
    </w:p>
    <w:p w14:paraId="6A507B5F" w14:textId="77777777" w:rsidR="00BF3328" w:rsidRPr="00D20E82" w:rsidRDefault="00507AE6">
      <w:pPr>
        <w:rPr>
          <w:rFonts w:ascii="Maiandra GD" w:hAnsi="Maiandra GD"/>
        </w:rPr>
      </w:pPr>
      <w:r w:rsidRPr="00D20E82">
        <w:rPr>
          <w:rFonts w:ascii="Maiandra GD" w:hAnsi="Maiandra GD"/>
        </w:rPr>
        <w:t>À la clôture, la Coordination prépare les états financiers annuels, les informations explicatives et un rapport d’exécution budgétaire. La trésorerie et le Conseil les examinent sans supprimer les responsabilités de préparation et de contrôle indépendant. Les documents sont transmis au Commissariat au contrôle associatif puis aux membres avant la session annuelle. L’Assemblée se prononce sur les comptes et l’affectation du résultat après présentation des observations de contrôle. Les responsables ne votent pas sur une décision individuelle qui les libérerait de leur propre responsabilité.</w:t>
      </w:r>
    </w:p>
    <w:p w14:paraId="2C99CF65" w14:textId="77777777" w:rsidR="00BF3328" w:rsidRPr="00D20E82" w:rsidRDefault="00507AE6">
      <w:pPr>
        <w:pStyle w:val="Heading2"/>
        <w:rPr>
          <w:rFonts w:ascii="Maiandra GD" w:hAnsi="Maiandra GD"/>
        </w:rPr>
      </w:pPr>
      <w:r w:rsidRPr="00D20E82">
        <w:rPr>
          <w:rFonts w:ascii="Maiandra GD" w:hAnsi="Maiandra GD"/>
        </w:rPr>
        <w:t>Article 59 Information périodique et conservation</w:t>
      </w:r>
    </w:p>
    <w:p w14:paraId="23B60E0A" w14:textId="77777777" w:rsidR="00BF3328" w:rsidRPr="00D20E82" w:rsidRDefault="00507AE6">
      <w:pPr>
        <w:rPr>
          <w:rFonts w:ascii="Maiandra GD" w:hAnsi="Maiandra GD"/>
        </w:rPr>
      </w:pPr>
      <w:r w:rsidRPr="00D20E82">
        <w:rPr>
          <w:rFonts w:ascii="Maiandra GD" w:hAnsi="Maiandra GD"/>
        </w:rPr>
        <w:t>La Coordination transmet au Conseil une situation financière au moins trimestrielle, avec les engagements, les disponibilités, les écarts et les mesures proposées. Les rapports destinés aux partenaires doivent correspondre aux pièces et à la comptabilité, sans double imputation d’une même dépense. Les archives financières sont conservées pendant la durée la plus longue imposée par le droit ou par un accord applicable. La conservation protège l’intégrité, la disponibilité et la confidentialité des pièces. Une perte ou une altération importante est signalée au Conseil et traitée de manière documentée.</w:t>
      </w:r>
    </w:p>
    <w:p w14:paraId="1A455FE4" w14:textId="77777777" w:rsidR="00BF3328" w:rsidRPr="00D20E82" w:rsidRDefault="00507AE6">
      <w:pPr>
        <w:rPr>
          <w:rFonts w:ascii="Maiandra GD" w:hAnsi="Maiandra GD"/>
        </w:rPr>
      </w:pPr>
      <w:r w:rsidRPr="00D20E82">
        <w:rPr>
          <w:rFonts w:ascii="Maiandra GD" w:hAnsi="Maiandra GD"/>
        </w:rPr>
        <w:br w:type="page"/>
      </w:r>
    </w:p>
    <w:p w14:paraId="727C6187" w14:textId="77777777" w:rsidR="00BF3328" w:rsidRPr="00D20E82" w:rsidRDefault="00507AE6">
      <w:pPr>
        <w:pStyle w:val="Heading1"/>
        <w:rPr>
          <w:rFonts w:ascii="Maiandra GD" w:hAnsi="Maiandra GD"/>
        </w:rPr>
      </w:pPr>
      <w:r w:rsidRPr="00D20E82">
        <w:rPr>
          <w:rFonts w:ascii="Maiandra GD" w:hAnsi="Maiandra GD"/>
        </w:rPr>
        <w:t>Titre XV Engagements financiers et prévention des abus</w:t>
      </w:r>
    </w:p>
    <w:p w14:paraId="28B65E9F" w14:textId="77777777" w:rsidR="00BF3328" w:rsidRPr="00D20E82" w:rsidRDefault="00507AE6">
      <w:pPr>
        <w:pStyle w:val="Heading2"/>
        <w:rPr>
          <w:rFonts w:ascii="Maiandra GD" w:hAnsi="Maiandra GD"/>
        </w:rPr>
      </w:pPr>
      <w:r w:rsidRPr="00D20E82">
        <w:rPr>
          <w:rFonts w:ascii="Maiandra GD" w:hAnsi="Maiandra GD"/>
        </w:rPr>
        <w:t>Article 60 Comptes et pouvoirs de signature</w:t>
      </w:r>
    </w:p>
    <w:p w14:paraId="7758C6DC" w14:textId="77777777" w:rsidR="00BF3328" w:rsidRPr="00D20E82" w:rsidRDefault="00507AE6">
      <w:pPr>
        <w:rPr>
          <w:rFonts w:ascii="Maiandra GD" w:hAnsi="Maiandra GD"/>
        </w:rPr>
      </w:pPr>
      <w:r w:rsidRPr="00D20E82">
        <w:rPr>
          <w:rFonts w:ascii="Maiandra GD" w:hAnsi="Maiandra GD"/>
        </w:rPr>
        <w:t>Les comptes bancaires et moyens de paiement sont ouverts au nom de VISUMO auprès d’organismes autorisés, sur décision du Conseil. L’Assemblée désigne au moins trois personnes éligibles aux mandats de signature, dont une personne exerçant la Coordination et une personne administratrice. Chaque décaissement requiert l’autorisation de deux personnes distinctes, suivant une combinaison définie dans les procédures et acceptée par l’établissement financier. Personne ne peut approuver seul une dépense dont il bénéficie. Le départ ou la suspension d’un signataire entraîne la révision immédiate de ses accès et pouvoirs.</w:t>
      </w:r>
    </w:p>
    <w:p w14:paraId="23D1E29B" w14:textId="77777777" w:rsidR="00BF3328" w:rsidRPr="00D20E82" w:rsidRDefault="00507AE6">
      <w:pPr>
        <w:pStyle w:val="Heading2"/>
        <w:rPr>
          <w:rFonts w:ascii="Maiandra GD" w:hAnsi="Maiandra GD"/>
        </w:rPr>
      </w:pPr>
      <w:r w:rsidRPr="00D20E82">
        <w:rPr>
          <w:rFonts w:ascii="Maiandra GD" w:hAnsi="Maiandra GD"/>
        </w:rPr>
        <w:t>Article 61 Séparation des tâches et caisse</w:t>
      </w:r>
    </w:p>
    <w:p w14:paraId="45EF1160" w14:textId="77777777" w:rsidR="00BF3328" w:rsidRPr="00D20E82" w:rsidRDefault="00507AE6">
      <w:pPr>
        <w:rPr>
          <w:rFonts w:ascii="Maiandra GD" w:hAnsi="Maiandra GD"/>
        </w:rPr>
      </w:pPr>
      <w:r w:rsidRPr="00D20E82">
        <w:rPr>
          <w:rFonts w:ascii="Maiandra GD" w:hAnsi="Maiandra GD"/>
        </w:rPr>
        <w:t>La demande d’achat, son autorisation, le paiement et le contrôle sont séparés autant que les effectifs le permettent. Lorsqu’une séparation complète est impossible, le Conseil impose une vérification indépendante et documentée. Les rapprochements bancaires sont revus par une personne qui n’a pas exécuté les opérations concernées. Une petite caisse peut être autorisée avec un plafond, un responsable, des pièces et des vérifications périodiques. Les mots de passe, jetons et codes bancaires sont personnels ; leur partage informel ne constitue jamais une double autorisation valable.</w:t>
      </w:r>
    </w:p>
    <w:p w14:paraId="7F7A6B22" w14:textId="77777777" w:rsidR="00BF3328" w:rsidRPr="00D20E82" w:rsidRDefault="00507AE6">
      <w:pPr>
        <w:pStyle w:val="Heading2"/>
        <w:rPr>
          <w:rFonts w:ascii="Maiandra GD" w:hAnsi="Maiandra GD"/>
        </w:rPr>
      </w:pPr>
      <w:r w:rsidRPr="00D20E82">
        <w:rPr>
          <w:rFonts w:ascii="Maiandra GD" w:hAnsi="Maiandra GD"/>
        </w:rPr>
        <w:t>Article 62 Achats et avantages personnels</w:t>
      </w:r>
    </w:p>
    <w:p w14:paraId="166D00B3" w14:textId="77777777" w:rsidR="00BF3328" w:rsidRPr="00D20E82" w:rsidRDefault="00507AE6">
      <w:pPr>
        <w:rPr>
          <w:rFonts w:ascii="Maiandra GD" w:hAnsi="Maiandra GD"/>
        </w:rPr>
      </w:pPr>
      <w:r w:rsidRPr="00D20E82">
        <w:rPr>
          <w:rFonts w:ascii="Maiandra GD" w:hAnsi="Maiandra GD"/>
        </w:rPr>
        <w:t>Les achats répondent à un besoin réel et à une autorisation budgétaire. La comparaison des offres et la sélection des prestataires sont proportionnées aux montants et aux risques. Les liens avec un fournisseur sont déclarés avant toute participation à la décision. Les cadeaux, commissions occultes et contreparties personnelles sont interdits. Une urgence peut justifier une procédure adaptée, avec motivation et contrôle ultérieur. Le fractionnement d’une commande pour éviter une autorisation ou une mise en concurrence est interdit. Le Conseil fixe les seuils dans un manuel soumis à l’Assemblée.</w:t>
      </w:r>
    </w:p>
    <w:p w14:paraId="6EC0848D" w14:textId="77777777" w:rsidR="00BF3328" w:rsidRPr="00D20E82" w:rsidRDefault="00507AE6">
      <w:pPr>
        <w:pStyle w:val="Heading2"/>
        <w:rPr>
          <w:rFonts w:ascii="Maiandra GD" w:hAnsi="Maiandra GD"/>
        </w:rPr>
      </w:pPr>
      <w:r w:rsidRPr="00D20E82">
        <w:rPr>
          <w:rFonts w:ascii="Maiandra GD" w:hAnsi="Maiandra GD"/>
        </w:rPr>
        <w:t>Article 63 Fraude risques et mesures correctives</w:t>
      </w:r>
    </w:p>
    <w:p w14:paraId="6AAA17E5" w14:textId="77777777" w:rsidR="00BF3328" w:rsidRPr="00D20E82" w:rsidRDefault="00507AE6">
      <w:pPr>
        <w:rPr>
          <w:rFonts w:ascii="Maiandra GD" w:hAnsi="Maiandra GD"/>
        </w:rPr>
      </w:pPr>
      <w:r w:rsidRPr="00D20E82">
        <w:rPr>
          <w:rFonts w:ascii="Maiandra GD" w:hAnsi="Maiandra GD"/>
        </w:rPr>
        <w:t>Tout soupçon sérieux de fraude, de corruption ou de détournement donne lieu à une appréciation indépendante, à la protection des preuves et à des mesures conservatoires proportionnées. La personne mise en cause bénéficie d’un examen impartial et du droit de répondre. Les signalements de bonne foi sont protégés contre les représailles. Les obligations de déclaration aux autorités et aux partenaires sont respectées. Le Conseil examine régulièrement les risques financiers, opérationnels et de réputation et rend compte des mesures prises, sans présenter un risque non vérifié comme un fait établi.</w:t>
      </w:r>
    </w:p>
    <w:p w14:paraId="1A63A401" w14:textId="77777777" w:rsidR="00BF3328" w:rsidRPr="00D20E82" w:rsidRDefault="00507AE6">
      <w:pPr>
        <w:rPr>
          <w:rFonts w:ascii="Maiandra GD" w:hAnsi="Maiandra GD"/>
        </w:rPr>
      </w:pPr>
      <w:r w:rsidRPr="00D20E82">
        <w:rPr>
          <w:rFonts w:ascii="Maiandra GD" w:hAnsi="Maiandra GD"/>
        </w:rPr>
        <w:br w:type="page"/>
      </w:r>
    </w:p>
    <w:p w14:paraId="7B977ED8" w14:textId="77777777" w:rsidR="00BF3328" w:rsidRPr="00D20E82" w:rsidRDefault="00507AE6">
      <w:pPr>
        <w:pStyle w:val="Heading1"/>
        <w:rPr>
          <w:rFonts w:ascii="Maiandra GD" w:hAnsi="Maiandra GD"/>
        </w:rPr>
      </w:pPr>
      <w:r w:rsidRPr="00D20E82">
        <w:rPr>
          <w:rFonts w:ascii="Maiandra GD" w:hAnsi="Maiandra GD"/>
        </w:rPr>
        <w:t>Titre XVI Protection des personnes et confidentialité</w:t>
      </w:r>
    </w:p>
    <w:p w14:paraId="7DEA256B" w14:textId="77777777" w:rsidR="00BF3328" w:rsidRPr="00D20E82" w:rsidRDefault="00507AE6">
      <w:pPr>
        <w:pStyle w:val="Heading2"/>
        <w:rPr>
          <w:rFonts w:ascii="Maiandra GD" w:hAnsi="Maiandra GD"/>
        </w:rPr>
      </w:pPr>
      <w:r w:rsidRPr="00D20E82">
        <w:rPr>
          <w:rFonts w:ascii="Maiandra GD" w:hAnsi="Maiandra GD"/>
        </w:rPr>
        <w:t>Article 64 Prévention des violences et de l’exploitation</w:t>
      </w:r>
    </w:p>
    <w:p w14:paraId="1AAA6AF1" w14:textId="77777777" w:rsidR="00BF3328" w:rsidRPr="00D20E82" w:rsidRDefault="00507AE6">
      <w:pPr>
        <w:rPr>
          <w:rFonts w:ascii="Maiandra GD" w:hAnsi="Maiandra GD"/>
        </w:rPr>
      </w:pPr>
      <w:r w:rsidRPr="00D20E82">
        <w:rPr>
          <w:rFonts w:ascii="Maiandra GD" w:hAnsi="Maiandra GD"/>
        </w:rPr>
        <w:t>Toute violence, exploitation sexuelle, demande de faveur sexuelle, humiliation, discrimination ou représaille est interdite dans les activités et les relations de VISUMO. Aucune aide ne peut être conditionnée à une relation intime, un avantage personnel ou un silence imposé. Les relations avec les enfants respectent leur intérêt supérieur et les obligations de protection. Les équipes et partenaires reçoivent les consignes adaptées à leurs rôles. Le Conseil veille à disposer d’un dispositif de prévention et de traitement des incidents, avec des personnes désignées et des moyens proportionnés.</w:t>
      </w:r>
    </w:p>
    <w:p w14:paraId="16D556C7" w14:textId="77777777" w:rsidR="00BF3328" w:rsidRPr="00D20E82" w:rsidRDefault="00507AE6">
      <w:pPr>
        <w:pStyle w:val="Heading2"/>
        <w:rPr>
          <w:rFonts w:ascii="Maiandra GD" w:hAnsi="Maiandra GD"/>
        </w:rPr>
      </w:pPr>
      <w:r w:rsidRPr="00D20E82">
        <w:rPr>
          <w:rFonts w:ascii="Maiandra GD" w:hAnsi="Maiandra GD"/>
        </w:rPr>
        <w:t>Article 65 Consentement et orientation sûre</w:t>
      </w:r>
    </w:p>
    <w:p w14:paraId="116EBEC0" w14:textId="77777777" w:rsidR="00BF3328" w:rsidRPr="00D20E82" w:rsidRDefault="00507AE6">
      <w:pPr>
        <w:rPr>
          <w:rFonts w:ascii="Maiandra GD" w:hAnsi="Maiandra GD"/>
        </w:rPr>
      </w:pPr>
      <w:r w:rsidRPr="00D20E82">
        <w:rPr>
          <w:rFonts w:ascii="Maiandra GD" w:hAnsi="Maiandra GD"/>
        </w:rPr>
        <w:t>Les personnes reçoivent une information accessible sur l’accompagnement proposé, ses limites et les usages de leurs informations. Leur consentement est libre et peut être retiré pour les démarches qui en dépendent. Un refus de témoignage, de photographie ou de partage non indispensable ne doit pas supprimer l’aide. L’orientation vers un service tient compte de sa compétence et de la sécurité du parcours. En situation de danger ou de protection d’un enfant, l’association agit conformément aux obligations légales et explique, dans la mesure possible, les limites de confidentialité.</w:t>
      </w:r>
    </w:p>
    <w:p w14:paraId="609896E7" w14:textId="77777777" w:rsidR="00BF3328" w:rsidRPr="00D20E82" w:rsidRDefault="00507AE6">
      <w:pPr>
        <w:pStyle w:val="Heading2"/>
        <w:rPr>
          <w:rFonts w:ascii="Maiandra GD" w:hAnsi="Maiandra GD"/>
        </w:rPr>
      </w:pPr>
      <w:r w:rsidRPr="00D20E82">
        <w:rPr>
          <w:rFonts w:ascii="Maiandra GD" w:hAnsi="Maiandra GD"/>
        </w:rPr>
        <w:t>Article 66 Données personnelles et communication</w:t>
      </w:r>
    </w:p>
    <w:p w14:paraId="58E1FCE0" w14:textId="77777777" w:rsidR="00BF3328" w:rsidRPr="00D20E82" w:rsidRDefault="00507AE6">
      <w:pPr>
        <w:rPr>
          <w:rFonts w:ascii="Maiandra GD" w:hAnsi="Maiandra GD"/>
        </w:rPr>
      </w:pPr>
      <w:r w:rsidRPr="00D20E82">
        <w:rPr>
          <w:rFonts w:ascii="Maiandra GD" w:hAnsi="Maiandra GD"/>
        </w:rPr>
        <w:t>VISUMO limite la collecte aux informations nécessaires, définit les accès et protège les supports physiques et numériques. Les informations relatives aux violences, à la santé, au VIH et au handicap font l’objet d’une attention renforcée. Elles ne sont pas publiées dans les rapports de gouvernance ou transmises à un bailleur sans base appropriée. Les témoignages, images et récits exigent un consentement spécifique et une analyse du risque d’identification. Les durées de conservation, la gestion des incidents et les demandes des personnes sont organisées selon le droit applicable.</w:t>
      </w:r>
    </w:p>
    <w:p w14:paraId="70AEF8DC" w14:textId="77777777" w:rsidR="00BF3328" w:rsidRPr="00D20E82" w:rsidRDefault="00507AE6">
      <w:pPr>
        <w:pStyle w:val="Heading2"/>
        <w:rPr>
          <w:rFonts w:ascii="Maiandra GD" w:hAnsi="Maiandra GD"/>
        </w:rPr>
      </w:pPr>
      <w:r w:rsidRPr="00D20E82">
        <w:rPr>
          <w:rFonts w:ascii="Maiandra GD" w:hAnsi="Maiandra GD"/>
        </w:rPr>
        <w:t>Article 67 Plaintes et protection des personnes qui alertent</w:t>
      </w:r>
    </w:p>
    <w:p w14:paraId="038E07D0" w14:textId="77777777" w:rsidR="00BF3328" w:rsidRPr="00D20E82" w:rsidRDefault="00507AE6">
      <w:pPr>
        <w:rPr>
          <w:rFonts w:ascii="Maiandra GD" w:hAnsi="Maiandra GD"/>
        </w:rPr>
      </w:pPr>
      <w:r w:rsidRPr="00D20E82">
        <w:rPr>
          <w:rFonts w:ascii="Maiandra GD" w:hAnsi="Maiandra GD"/>
        </w:rPr>
        <w:t>Des voies de plainte accessibles sont proposées aux membres, équipes, participantes et tiers. Une personne peut signaler un fait sans passer par le responsable qu’elle met en cause. Les plaintes sont reçues avec discrétion, orientées vers une personne impartiale et suivies dans un délai adapté à leur gravité. Une dénonciation non établie ne constitue pas une fausse déclaration de mauvaise foi. L’association ne recherche pas une médiation imposée en matière de violence sexuelle ou de danger grave. Les autorités compétentes restent accessibles à tout moment.</w:t>
      </w:r>
    </w:p>
    <w:p w14:paraId="7ACE5BA6" w14:textId="77777777" w:rsidR="00BF3328" w:rsidRPr="00D20E82" w:rsidRDefault="00507AE6">
      <w:pPr>
        <w:rPr>
          <w:rFonts w:ascii="Maiandra GD" w:hAnsi="Maiandra GD"/>
        </w:rPr>
      </w:pPr>
      <w:r w:rsidRPr="00D20E82">
        <w:rPr>
          <w:rFonts w:ascii="Maiandra GD" w:hAnsi="Maiandra GD"/>
        </w:rPr>
        <w:br w:type="page"/>
      </w:r>
    </w:p>
    <w:p w14:paraId="599EEC22" w14:textId="77777777" w:rsidR="00BF3328" w:rsidRPr="00D20E82" w:rsidRDefault="00507AE6">
      <w:pPr>
        <w:pStyle w:val="Heading1"/>
        <w:rPr>
          <w:rFonts w:ascii="Maiandra GD" w:hAnsi="Maiandra GD"/>
        </w:rPr>
      </w:pPr>
      <w:r w:rsidRPr="00D20E82">
        <w:rPr>
          <w:rFonts w:ascii="Maiandra GD" w:hAnsi="Maiandra GD"/>
        </w:rPr>
        <w:t>Titre XVII Partenariats participation et continuité</w:t>
      </w:r>
    </w:p>
    <w:p w14:paraId="40D5C5DE" w14:textId="77777777" w:rsidR="00BF3328" w:rsidRPr="00D20E82" w:rsidRDefault="00507AE6">
      <w:pPr>
        <w:pStyle w:val="Heading2"/>
        <w:rPr>
          <w:rFonts w:ascii="Maiandra GD" w:hAnsi="Maiandra GD"/>
        </w:rPr>
      </w:pPr>
      <w:r w:rsidRPr="00D20E82">
        <w:rPr>
          <w:rFonts w:ascii="Maiandra GD" w:hAnsi="Maiandra GD"/>
        </w:rPr>
        <w:t>Article 68 Coopération et partenaires de mise en œuvre</w:t>
      </w:r>
    </w:p>
    <w:p w14:paraId="6414B69B" w14:textId="77777777" w:rsidR="00BF3328" w:rsidRPr="00D20E82" w:rsidRDefault="00507AE6">
      <w:pPr>
        <w:rPr>
          <w:rFonts w:ascii="Maiandra GD" w:hAnsi="Maiandra GD"/>
        </w:rPr>
      </w:pPr>
      <w:r w:rsidRPr="00D20E82">
        <w:rPr>
          <w:rFonts w:ascii="Maiandra GD" w:hAnsi="Maiandra GD"/>
        </w:rPr>
        <w:t>VISUMO peut coopérer avec des organisations communautaires, des services publics, des structures de santé, des professionnels, des réseaux et des partenaires de financement. Avant de déléguer une activité ou de transférer des ressources, elle examine les capacités, les risques, les responsabilités et les garanties de protection. Un accord écrit précise les résultats attendus, les règles financières, la gestion des données, les signalements et les modalités de suivi. Un partenariat ne transfère pas la responsabilité de gouvernance de VISUMO à une entité extérieure.</w:t>
      </w:r>
    </w:p>
    <w:p w14:paraId="09AE33CD" w14:textId="77777777" w:rsidR="00BF3328" w:rsidRPr="00D20E82" w:rsidRDefault="00507AE6">
      <w:pPr>
        <w:pStyle w:val="Heading2"/>
        <w:rPr>
          <w:rFonts w:ascii="Maiandra GD" w:hAnsi="Maiandra GD"/>
        </w:rPr>
      </w:pPr>
      <w:r w:rsidRPr="00D20E82">
        <w:rPr>
          <w:rFonts w:ascii="Maiandra GD" w:hAnsi="Maiandra GD"/>
        </w:rPr>
        <w:t>Article 69 Participation communautaire et apprentissage</w:t>
      </w:r>
    </w:p>
    <w:p w14:paraId="7B05EAA1" w14:textId="77777777" w:rsidR="00BF3328" w:rsidRPr="00D20E82" w:rsidRDefault="00507AE6">
      <w:pPr>
        <w:rPr>
          <w:rFonts w:ascii="Maiandra GD" w:hAnsi="Maiandra GD"/>
        </w:rPr>
      </w:pPr>
      <w:r w:rsidRPr="00D20E82">
        <w:rPr>
          <w:rFonts w:ascii="Maiandra GD" w:hAnsi="Maiandra GD"/>
        </w:rPr>
        <w:t>Les femmes et les communautés concernées sont consultées sur les priorités, l’accessibilité et la qualité des interventions. Des espaces d’échange peuvent être organisés sans exposer les personnes à une révélation forcée de leur situation. Les avis recueillis sont examinés et une réponse compréhensible est apportée sur les décisions retenues. Un comité consultatif communautaire peut être établi par le Conseil ; il n’exerce ni pouvoir électoral ni pouvoir financier réservé aux organes statutaires. Les enseignements des activités contribuent à l’amélioration des programmes et à la redevabilité.</w:t>
      </w:r>
    </w:p>
    <w:p w14:paraId="2D07144E" w14:textId="77777777" w:rsidR="00BF3328" w:rsidRPr="00D20E82" w:rsidRDefault="00507AE6">
      <w:pPr>
        <w:pStyle w:val="Heading2"/>
        <w:rPr>
          <w:rFonts w:ascii="Maiandra GD" w:hAnsi="Maiandra GD"/>
        </w:rPr>
      </w:pPr>
      <w:r w:rsidRPr="00D20E82">
        <w:rPr>
          <w:rFonts w:ascii="Maiandra GD" w:hAnsi="Maiandra GD"/>
        </w:rPr>
        <w:t>Article 70 Représentation externe et obligations institutionnelles</w:t>
      </w:r>
    </w:p>
    <w:p w14:paraId="03A2CAE2" w14:textId="77777777" w:rsidR="00BF3328" w:rsidRPr="00D20E82" w:rsidRDefault="00507AE6">
      <w:pPr>
        <w:rPr>
          <w:rFonts w:ascii="Maiandra GD" w:hAnsi="Maiandra GD"/>
        </w:rPr>
      </w:pPr>
      <w:r w:rsidRPr="00D20E82">
        <w:rPr>
          <w:rFonts w:ascii="Maiandra GD" w:hAnsi="Maiandra GD"/>
        </w:rPr>
        <w:t>La présidence représente l’association dans les actes autorisés ; la Coordination exerce la représentation opérationnelle dans les limites d’une délégation écrite. Les accords de financement, les engagements au-delà des délégations et les actes patrimoniaux suivent l’autorisation de l’organe compétent. Les actions en justice sont autorisées par le Conseil, sous réserve des pouvoirs de l’Assemblée et des mesures urgentes de sauvegarde. Les rapports et déclarations exigés par les autorités sont préparés avec exactitude. Aucun responsable ne peut attribuer à VISUMO un agrément ou une exonération non obtenus.</w:t>
      </w:r>
    </w:p>
    <w:p w14:paraId="174DEBB6" w14:textId="77777777" w:rsidR="00BF3328" w:rsidRPr="00D20E82" w:rsidRDefault="00507AE6">
      <w:pPr>
        <w:pStyle w:val="Heading2"/>
        <w:rPr>
          <w:rFonts w:ascii="Maiandra GD" w:hAnsi="Maiandra GD"/>
        </w:rPr>
      </w:pPr>
      <w:r w:rsidRPr="00D20E82">
        <w:rPr>
          <w:rFonts w:ascii="Maiandra GD" w:hAnsi="Maiandra GD"/>
        </w:rPr>
        <w:t>Article 71 Continuité et situations de crise</w:t>
      </w:r>
    </w:p>
    <w:p w14:paraId="23587405" w14:textId="77777777" w:rsidR="00BF3328" w:rsidRPr="00D20E82" w:rsidRDefault="00507AE6">
      <w:pPr>
        <w:rPr>
          <w:rFonts w:ascii="Maiandra GD" w:hAnsi="Maiandra GD"/>
        </w:rPr>
      </w:pPr>
      <w:r w:rsidRPr="00D20E82">
        <w:rPr>
          <w:rFonts w:ascii="Maiandra GD" w:hAnsi="Maiandra GD"/>
        </w:rPr>
        <w:t>Le Conseil organise la continuité des fonctions essentielles en cas d’insécurité, d’absence prolongée, de crise sanitaire, de déplacement ou de rupture de financement. Les dispositions couvrent les contacts utiles, les délégations temporaires, la protection des personnes, la sauvegarde des archives et la sécurisation des moyens de paiement. Une activité peut être suspendue lorsque sa poursuite crée un risque disproportionné. Les pouvoirs exceptionnels restent limités, datés et contrôlés ; ils ne permettent pas de modifier les statuts, de prolonger un mandat sans élection ou de supprimer les droits des membres.</w:t>
      </w:r>
    </w:p>
    <w:p w14:paraId="1367A18F" w14:textId="77777777" w:rsidR="00BF3328" w:rsidRPr="00D20E82" w:rsidRDefault="00507AE6">
      <w:pPr>
        <w:rPr>
          <w:rFonts w:ascii="Maiandra GD" w:hAnsi="Maiandra GD"/>
        </w:rPr>
      </w:pPr>
      <w:r w:rsidRPr="00D20E82">
        <w:rPr>
          <w:rFonts w:ascii="Maiandra GD" w:hAnsi="Maiandra GD"/>
        </w:rPr>
        <w:br w:type="page"/>
      </w:r>
    </w:p>
    <w:p w14:paraId="09ADB834" w14:textId="77777777" w:rsidR="00BF3328" w:rsidRPr="00D20E82" w:rsidRDefault="00507AE6">
      <w:pPr>
        <w:pStyle w:val="Heading1"/>
        <w:rPr>
          <w:rFonts w:ascii="Maiandra GD" w:hAnsi="Maiandra GD"/>
        </w:rPr>
      </w:pPr>
      <w:r w:rsidRPr="00D20E82">
        <w:rPr>
          <w:rFonts w:ascii="Maiandra GD" w:hAnsi="Maiandra GD"/>
        </w:rPr>
        <w:t>Titre XVIII Révision dissolution et liquidation</w:t>
      </w:r>
    </w:p>
    <w:p w14:paraId="688060C7" w14:textId="77777777" w:rsidR="00BF3328" w:rsidRPr="00D20E82" w:rsidRDefault="00507AE6">
      <w:pPr>
        <w:pStyle w:val="Heading2"/>
        <w:rPr>
          <w:rFonts w:ascii="Maiandra GD" w:hAnsi="Maiandra GD"/>
        </w:rPr>
      </w:pPr>
      <w:r w:rsidRPr="00D20E82">
        <w:rPr>
          <w:rFonts w:ascii="Maiandra GD" w:hAnsi="Maiandra GD"/>
        </w:rPr>
        <w:t>Article 72 Modification des statuts</w:t>
      </w:r>
    </w:p>
    <w:p w14:paraId="200DB3D9" w14:textId="77777777" w:rsidR="00BF3328" w:rsidRPr="00D20E82" w:rsidRDefault="00507AE6">
      <w:pPr>
        <w:rPr>
          <w:rFonts w:ascii="Maiandra GD" w:hAnsi="Maiandra GD"/>
        </w:rPr>
      </w:pPr>
      <w:r w:rsidRPr="00D20E82">
        <w:rPr>
          <w:rFonts w:ascii="Maiandra GD" w:hAnsi="Maiandra GD"/>
        </w:rPr>
        <w:t>Une modification peut être proposée par le Conseil ou par au moins un tiers des membres effectifs. Le texte proposé et ses motifs sont joints à une convocation spécifique. L’Assemblée statue selon les délais de l’article 32 et la double condition de majorité de l’article 34. Aucun organe ne peut procéder seul à une modification, même présentée comme technique, lorsqu’elle change une règle statutaire. Les changements adoptés sont datés, intégrés dans une version consolidée et soumis aux déclarations et mesures de publicité applicables.</w:t>
      </w:r>
    </w:p>
    <w:p w14:paraId="48B9417B" w14:textId="77777777" w:rsidR="00BF3328" w:rsidRPr="00D20E82" w:rsidRDefault="00507AE6">
      <w:pPr>
        <w:pStyle w:val="Heading2"/>
        <w:rPr>
          <w:rFonts w:ascii="Maiandra GD" w:hAnsi="Maiandra GD"/>
        </w:rPr>
      </w:pPr>
      <w:r w:rsidRPr="00D20E82">
        <w:rPr>
          <w:rFonts w:ascii="Maiandra GD" w:hAnsi="Maiandra GD"/>
        </w:rPr>
        <w:t>Article 73 Dissolution volontaire</w:t>
      </w:r>
    </w:p>
    <w:p w14:paraId="0611E7A0" w14:textId="77777777" w:rsidR="00BF3328" w:rsidRPr="00D20E82" w:rsidRDefault="00507AE6">
      <w:pPr>
        <w:rPr>
          <w:rFonts w:ascii="Maiandra GD" w:hAnsi="Maiandra GD"/>
        </w:rPr>
      </w:pPr>
      <w:r w:rsidRPr="00D20E82">
        <w:rPr>
          <w:rFonts w:ascii="Maiandra GD" w:hAnsi="Maiandra GD"/>
        </w:rPr>
        <w:t>La dissolution ne peut être décidée que par une Assemblée spécialement convoquée, à la majorité d’au moins deux tiers de l’ensemble des membres effectifs. Les membres reçoivent les motifs, une situation des engagements et les conséquences prévisibles pour les personnes, les salariés et les partenaires. La décision précise les modalités de liquidation, les liquidateurs et les principes d’affectation de l’actif restant. Une dissolution judiciaire ou une autre mesure imposée par une autorité compétente est traitée conformément à la décision et au droit applicables.</w:t>
      </w:r>
    </w:p>
    <w:p w14:paraId="77EF93BA" w14:textId="77777777" w:rsidR="00BF3328" w:rsidRPr="00D20E82" w:rsidRDefault="00507AE6">
      <w:pPr>
        <w:pStyle w:val="Heading2"/>
        <w:rPr>
          <w:rFonts w:ascii="Maiandra GD" w:hAnsi="Maiandra GD"/>
        </w:rPr>
      </w:pPr>
      <w:r w:rsidRPr="00D20E82">
        <w:rPr>
          <w:rFonts w:ascii="Maiandra GD" w:hAnsi="Maiandra GD"/>
        </w:rPr>
        <w:t>Article 74 Liquidation et règlement des obligations</w:t>
      </w:r>
    </w:p>
    <w:p w14:paraId="3D034606" w14:textId="77777777" w:rsidR="00BF3328" w:rsidRPr="00D20E82" w:rsidRDefault="00507AE6">
      <w:pPr>
        <w:rPr>
          <w:rFonts w:ascii="Maiandra GD" w:hAnsi="Maiandra GD"/>
        </w:rPr>
      </w:pPr>
      <w:r w:rsidRPr="00D20E82">
        <w:rPr>
          <w:rFonts w:ascii="Maiandra GD" w:hAnsi="Maiandra GD"/>
        </w:rPr>
        <w:t>Les liquidateurs sont désignés par la majorité de l’ensemble des membres effectifs ou par l’autorité compétente lorsque la loi le prévoit. Ils dressent l’inventaire, recouvrent les créances, règlent le passif et rendent compte de leurs opérations. Les engagements envers le personnel, les créanciers, les participants et les partenaires sont examinés avant toute affectation de l’actif. Les fonds affectés et biens soumis à restitution sont traités selon les accords applicables. Les liquidateurs ne peuvent détourner les ressources vers leur intérêt personnel ni engager de nouvelles activités étrangères à la liquidation.</w:t>
      </w:r>
    </w:p>
    <w:p w14:paraId="41A22CF8" w14:textId="77777777" w:rsidR="00BF3328" w:rsidRPr="00D20E82" w:rsidRDefault="00507AE6">
      <w:pPr>
        <w:pStyle w:val="Heading2"/>
        <w:rPr>
          <w:rFonts w:ascii="Maiandra GD" w:hAnsi="Maiandra GD"/>
        </w:rPr>
      </w:pPr>
      <w:r w:rsidRPr="00D20E82">
        <w:rPr>
          <w:rFonts w:ascii="Maiandra GD" w:hAnsi="Maiandra GD"/>
        </w:rPr>
        <w:t>Article 75 Dévolution du patrimoine restant</w:t>
      </w:r>
    </w:p>
    <w:p w14:paraId="05A4094D" w14:textId="77777777" w:rsidR="00BF3328" w:rsidRPr="00D20E82" w:rsidRDefault="00507AE6">
      <w:pPr>
        <w:rPr>
          <w:rFonts w:ascii="Maiandra GD" w:hAnsi="Maiandra GD"/>
        </w:rPr>
      </w:pPr>
      <w:r w:rsidRPr="00D20E82">
        <w:rPr>
          <w:rFonts w:ascii="Maiandra GD" w:hAnsi="Maiandra GD"/>
        </w:rPr>
        <w:t>Après apurement du passif et respect des droits des tiers, l’actif restant est attribué à une ou plusieurs associations sans but lucratif de droit congolais poursuivant des objectifs compatibles, notamment la protection des survivantes, les droits des femmes ou l’inclusion. Aucun bien ne peut être partagé entre membres, dirigeants, salariés ou donateurs à titre personnel. L’Assemblée désigne les bénéficiaires selon les règles légales. Si l’affectation prévue est impossible, une destination aussi proche que possible de l’objet social est déterminée selon la procédure applicable et fait l’objet des formalités requises.</w:t>
      </w:r>
    </w:p>
    <w:p w14:paraId="01059556" w14:textId="77777777" w:rsidR="00BF3328" w:rsidRPr="00D20E82" w:rsidRDefault="00507AE6">
      <w:pPr>
        <w:rPr>
          <w:rFonts w:ascii="Maiandra GD" w:hAnsi="Maiandra GD"/>
        </w:rPr>
      </w:pPr>
      <w:r w:rsidRPr="00D20E82">
        <w:rPr>
          <w:rFonts w:ascii="Maiandra GD" w:hAnsi="Maiandra GD"/>
        </w:rPr>
        <w:br w:type="page"/>
      </w:r>
    </w:p>
    <w:p w14:paraId="4E3EA6DC" w14:textId="77777777" w:rsidR="00BF3328" w:rsidRPr="00D20E82" w:rsidRDefault="00507AE6">
      <w:pPr>
        <w:pStyle w:val="Heading1"/>
        <w:rPr>
          <w:rFonts w:ascii="Maiandra GD" w:hAnsi="Maiandra GD"/>
        </w:rPr>
      </w:pPr>
      <w:r w:rsidRPr="00D20E82">
        <w:rPr>
          <w:rFonts w:ascii="Maiandra GD" w:hAnsi="Maiandra GD"/>
        </w:rPr>
        <w:t>Titre XIX Dispositions finales</w:t>
      </w:r>
    </w:p>
    <w:p w14:paraId="54941C9D" w14:textId="77777777" w:rsidR="00BF3328" w:rsidRPr="00D20E82" w:rsidRDefault="00507AE6">
      <w:pPr>
        <w:pStyle w:val="Heading2"/>
        <w:rPr>
          <w:rFonts w:ascii="Maiandra GD" w:hAnsi="Maiandra GD"/>
        </w:rPr>
      </w:pPr>
      <w:r w:rsidRPr="00D20E82">
        <w:rPr>
          <w:rFonts w:ascii="Maiandra GD" w:hAnsi="Maiandra GD"/>
        </w:rPr>
        <w:t>Article 76 Textes internes et hiérarchie des normes</w:t>
      </w:r>
    </w:p>
    <w:p w14:paraId="511A9E68" w14:textId="77777777" w:rsidR="00BF3328" w:rsidRPr="00D20E82" w:rsidRDefault="00507AE6">
      <w:pPr>
        <w:rPr>
          <w:rFonts w:ascii="Maiandra GD" w:hAnsi="Maiandra GD"/>
        </w:rPr>
      </w:pPr>
      <w:r w:rsidRPr="00D20E82">
        <w:rPr>
          <w:rFonts w:ascii="Maiandra GD" w:hAnsi="Maiandra GD"/>
        </w:rPr>
        <w:t>Un règlement d’ordre intérieur précise les modalités pratiques sans modifier les présents statuts. Des procédures adaptées organisent notamment les finances, les ressources humaines, les achats, la protection des personnes et les données. Le Conseil prépare ces textes et les soumet à l’Assemblée pour adoption, en associant les équipes concernées. Les procédures urgentes de protection peuvent être approuvées provisoirement par le Conseil puis présentées à l’Assemblée suivante. Les dispositions légales impératives prévalent sur les statuts ; les statuts prévalent sur les règlements, procédures et décisions individuelles.</w:t>
      </w:r>
    </w:p>
    <w:p w14:paraId="053BE0CA" w14:textId="77777777" w:rsidR="00BF3328" w:rsidRPr="00D20E82" w:rsidRDefault="00507AE6">
      <w:pPr>
        <w:pStyle w:val="Heading2"/>
        <w:rPr>
          <w:rFonts w:ascii="Maiandra GD" w:hAnsi="Maiandra GD"/>
        </w:rPr>
      </w:pPr>
      <w:r w:rsidRPr="00D20E82">
        <w:rPr>
          <w:rFonts w:ascii="Maiandra GD" w:hAnsi="Maiandra GD"/>
        </w:rPr>
        <w:t>Article 77 Désaccords et accès à la justice</w:t>
      </w:r>
    </w:p>
    <w:p w14:paraId="652B5329" w14:textId="77777777" w:rsidR="00BF3328" w:rsidRPr="00D20E82" w:rsidRDefault="00507AE6">
      <w:pPr>
        <w:rPr>
          <w:rFonts w:ascii="Maiandra GD" w:hAnsi="Maiandra GD"/>
        </w:rPr>
      </w:pPr>
      <w:r w:rsidRPr="00D20E82">
        <w:rPr>
          <w:rFonts w:ascii="Maiandra GD" w:hAnsi="Maiandra GD"/>
        </w:rPr>
        <w:t>Les organes recherchent une résolution impartiale des différends associatifs dans le respect des droits de chacun. Une conciliation volontaire peut être proposée lorsqu’elle est adaptée à la nature du désaccord. Elle ne suspend pas les mesures urgentes de protection et ne peut être imposée en cas de violence ou d’exploitation. À défaut d’accord, les parties conservent le droit de saisir les juridictions compétentes. Aucune clause des présents statuts ne peut supprimer un recours légal ou empêcher un signalement aux autorités.</w:t>
      </w:r>
    </w:p>
    <w:p w14:paraId="4A224B6C" w14:textId="77777777" w:rsidR="00BF3328" w:rsidRPr="00D20E82" w:rsidRDefault="00507AE6">
      <w:pPr>
        <w:pStyle w:val="Heading2"/>
        <w:rPr>
          <w:rFonts w:ascii="Maiandra GD" w:hAnsi="Maiandra GD"/>
        </w:rPr>
      </w:pPr>
      <w:r w:rsidRPr="00D20E82">
        <w:rPr>
          <w:rFonts w:ascii="Maiandra GD" w:hAnsi="Maiandra GD"/>
        </w:rPr>
        <w:t>Article 78 Formalités archives et authenticité</w:t>
      </w:r>
    </w:p>
    <w:p w14:paraId="20B44DEC" w14:textId="77777777" w:rsidR="00BF3328" w:rsidRPr="00D20E82" w:rsidRDefault="00507AE6">
      <w:pPr>
        <w:rPr>
          <w:rFonts w:ascii="Maiandra GD" w:hAnsi="Maiandra GD"/>
        </w:rPr>
      </w:pPr>
      <w:r w:rsidRPr="00D20E82">
        <w:rPr>
          <w:rFonts w:ascii="Maiandra GD" w:hAnsi="Maiandra GD"/>
        </w:rPr>
        <w:t>Les responsables mandatés accomplissent les déclarations, dépôts, authentifications et publications requis, y compris ceux liés aux changements de dirigeants et aux modifications statutaires. Le secrétariat conserve les versions adoptées, procès-verbaux, listes et récépissés. Les copies institutionnelles portent une référence permettant d’identifier la version applicable. Les noms, dates et signatures sont ceux des personnes et actes réels. L’usage d’une signature reproduite ou d’un cachet est encadré et ne remplace pas un consentement ou une formalité légalement nécessaire.</w:t>
      </w:r>
    </w:p>
    <w:p w14:paraId="401E087D" w14:textId="77777777" w:rsidR="00BF3328" w:rsidRPr="00D20E82" w:rsidRDefault="00507AE6">
      <w:pPr>
        <w:pStyle w:val="Heading2"/>
        <w:rPr>
          <w:rFonts w:ascii="Maiandra GD" w:hAnsi="Maiandra GD"/>
        </w:rPr>
      </w:pPr>
      <w:r w:rsidRPr="00D20E82">
        <w:rPr>
          <w:rFonts w:ascii="Maiandra GD" w:hAnsi="Maiandra GD"/>
        </w:rPr>
        <w:t>Article 79 Adoption et entrée en vigueur</w:t>
      </w:r>
    </w:p>
    <w:p w14:paraId="5B386E43" w14:textId="77777777" w:rsidR="00BF3328" w:rsidRPr="00D20E82" w:rsidRDefault="00507AE6">
      <w:pPr>
        <w:rPr>
          <w:rFonts w:ascii="Maiandra GD" w:hAnsi="Maiandra GD"/>
        </w:rPr>
      </w:pPr>
      <w:r w:rsidRPr="00D20E82">
        <w:rPr>
          <w:rFonts w:ascii="Maiandra GD" w:hAnsi="Maiandra GD"/>
        </w:rPr>
        <w:t>La version française des présents statuts fait foi. Leur adoption est constatée par un procès-verbal de l’Assemblée générale mentionnant la date, les membres habilités, le résultat des votes et les mandats décidés. Ils produisent leurs effets internes à la date régulièrement fixée par cette Assemblée, sous réserve des formalités légales et des droits des tiers. Ils ne valent pas preuve rétroactive d’une pratique ou d’une décision antérieure. Leur authentification, leur opposabilité et la reconnaissance juridique de l’association suivent les règles applicables.</w:t>
      </w:r>
    </w:p>
    <w:p w14:paraId="1EEAEBCA" w14:textId="77777777" w:rsidR="00BF3328" w:rsidRPr="00D20E82" w:rsidRDefault="00507AE6">
      <w:pPr>
        <w:pStyle w:val="Heading3"/>
        <w:rPr>
          <w:rFonts w:ascii="Maiandra GD" w:hAnsi="Maiandra GD"/>
        </w:rPr>
      </w:pPr>
      <w:r w:rsidRPr="00D20E82">
        <w:rPr>
          <w:rFonts w:ascii="Maiandra GD" w:hAnsi="Maiandra GD"/>
        </w:rPr>
        <w:t>Textes de référence</w:t>
      </w:r>
    </w:p>
    <w:p w14:paraId="356469FE" w14:textId="77777777" w:rsidR="00BF3328" w:rsidRPr="00D20E82" w:rsidRDefault="00507AE6">
      <w:pPr>
        <w:spacing w:after="60" w:line="240" w:lineRule="auto"/>
        <w:rPr>
          <w:rFonts w:ascii="Maiandra GD" w:hAnsi="Maiandra GD"/>
        </w:rPr>
      </w:pPr>
      <w:r w:rsidRPr="00D20E82">
        <w:rPr>
          <w:rFonts w:ascii="Maiandra GD" w:hAnsi="Maiandra GD"/>
          <w:sz w:val="18"/>
        </w:rPr>
        <w:t>Loi n° 004/2001 du 20 juillet 2001 relative aux associations sans but lucratif et aux établissements d’utilité publique, notamment ses articles 6 à 14 et 19 à 26.</w:t>
      </w:r>
    </w:p>
    <w:p w14:paraId="6843054B" w14:textId="77777777" w:rsidR="00BF3328" w:rsidRPr="00D20E82" w:rsidRDefault="00507AE6">
      <w:pPr>
        <w:spacing w:after="60" w:line="240" w:lineRule="auto"/>
        <w:rPr>
          <w:rFonts w:ascii="Maiandra GD" w:hAnsi="Maiandra GD"/>
        </w:rPr>
      </w:pPr>
      <w:r w:rsidRPr="00D20E82">
        <w:rPr>
          <w:rFonts w:ascii="Maiandra GD" w:hAnsi="Maiandra GD"/>
          <w:sz w:val="18"/>
        </w:rPr>
        <w:t>Acte uniforme OHADA du 22 décembre 2022 relatif au système comptable des entités à but non lucratif et référentiel SYCEBNL.</w:t>
      </w:r>
    </w:p>
    <w:p w14:paraId="6E2F0E25" w14:textId="77777777" w:rsidR="00BF3328" w:rsidRPr="00D20E82" w:rsidRDefault="00507AE6">
      <w:pPr>
        <w:rPr>
          <w:rFonts w:ascii="Maiandra GD" w:hAnsi="Maiandra GD"/>
        </w:rPr>
      </w:pPr>
      <w:r w:rsidRPr="00D20E82">
        <w:rPr>
          <w:rFonts w:ascii="Maiandra GD" w:hAnsi="Maiandra GD"/>
        </w:rPr>
        <w:br w:type="page"/>
      </w:r>
    </w:p>
    <w:p w14:paraId="1E3EA3F8" w14:textId="77777777" w:rsidR="00BF3328" w:rsidRPr="00D20E82" w:rsidRDefault="00507AE6">
      <w:pPr>
        <w:pStyle w:val="Heading1"/>
        <w:rPr>
          <w:rFonts w:ascii="Maiandra GD" w:hAnsi="Maiandra GD"/>
        </w:rPr>
      </w:pPr>
      <w:r w:rsidRPr="00D20E82">
        <w:rPr>
          <w:rFonts w:ascii="Maiandra GD" w:hAnsi="Maiandra GD"/>
        </w:rPr>
        <w:t>Adoption et signatures</w:t>
      </w:r>
    </w:p>
    <w:p w14:paraId="642524C1" w14:textId="77777777" w:rsidR="00BF3328" w:rsidRPr="00D20E82" w:rsidRDefault="00507AE6">
      <w:pPr>
        <w:spacing w:after="180"/>
        <w:rPr>
          <w:rFonts w:ascii="Maiandra GD" w:hAnsi="Maiandra GD"/>
        </w:rPr>
      </w:pPr>
      <w:r w:rsidRPr="00D20E82">
        <w:rPr>
          <w:rFonts w:ascii="Maiandra GD" w:hAnsi="Maiandra GD"/>
        </w:rPr>
        <w:t>L’Assemblée générale adopte les présents statuts dans les conditions consignées au procès-verbal. Les signatures ci-dessous sont recueillies auprès des personnes habilitées ; elles ne remplacent pas les déclarations et formalités légales.</w:t>
      </w:r>
    </w:p>
    <w:p w14:paraId="7FFFDAC6" w14:textId="77777777" w:rsidR="00BF3328" w:rsidRPr="00D20E82" w:rsidRDefault="00507AE6">
      <w:pPr>
        <w:spacing w:after="160"/>
        <w:rPr>
          <w:rFonts w:ascii="Maiandra GD" w:hAnsi="Maiandra GD"/>
        </w:rPr>
      </w:pPr>
      <w:r w:rsidRPr="00D20E82">
        <w:rPr>
          <w:rFonts w:ascii="Maiandra GD" w:hAnsi="Maiandra GD"/>
          <w:b/>
        </w:rPr>
        <w:t>Fait à Beni, le  ______________________________</w:t>
      </w:r>
    </w:p>
    <w:p w14:paraId="1578D5E5" w14:textId="77777777" w:rsidR="00BF3328" w:rsidRPr="00D20E82" w:rsidRDefault="00507AE6">
      <w:pPr>
        <w:spacing w:after="160"/>
        <w:rPr>
          <w:rFonts w:ascii="Maiandra GD" w:hAnsi="Maiandra GD"/>
        </w:rPr>
      </w:pPr>
      <w:r w:rsidRPr="00D20E82">
        <w:rPr>
          <w:rFonts w:ascii="Maiandra GD" w:hAnsi="Maiandra GD"/>
        </w:rPr>
        <w:t>Date de constitution de VISUMO  ______________________________</w:t>
      </w:r>
    </w:p>
    <w:p w14:paraId="57B25E53" w14:textId="77777777" w:rsidR="00BF3328" w:rsidRPr="00D20E82" w:rsidRDefault="00507AE6">
      <w:pPr>
        <w:spacing w:after="160"/>
        <w:rPr>
          <w:rFonts w:ascii="Maiandra GD" w:hAnsi="Maiandra GD"/>
        </w:rPr>
      </w:pPr>
      <w:r w:rsidRPr="00D20E82">
        <w:rPr>
          <w:rFonts w:ascii="Maiandra GD" w:hAnsi="Maiandra GD"/>
        </w:rPr>
        <w:t>Référence du procès-verbal d’adoption  ______________________________</w:t>
      </w:r>
    </w:p>
    <w:p w14:paraId="70D96F77" w14:textId="77777777" w:rsidR="00BF3328" w:rsidRPr="00D20E82" w:rsidRDefault="00507AE6">
      <w:pPr>
        <w:spacing w:after="120"/>
        <w:rPr>
          <w:rFonts w:ascii="Maiandra GD" w:hAnsi="Maiandra GD"/>
        </w:rPr>
      </w:pPr>
      <w:r w:rsidRPr="00D20E82">
        <w:rPr>
          <w:rFonts w:ascii="Maiandra GD" w:hAnsi="Maiandra GD"/>
        </w:rPr>
        <w:t>Membres effectifs inscrits  ______   Présents ou représentés  ______</w:t>
      </w:r>
    </w:p>
    <w:p w14:paraId="609615D9" w14:textId="77777777" w:rsidR="00BF3328" w:rsidRPr="00D20E82" w:rsidRDefault="00507AE6">
      <w:pPr>
        <w:spacing w:after="220"/>
        <w:rPr>
          <w:rFonts w:ascii="Maiandra GD" w:hAnsi="Maiandra GD"/>
        </w:rPr>
      </w:pPr>
      <w:r w:rsidRPr="00D20E82">
        <w:rPr>
          <w:rFonts w:ascii="Maiandra GD" w:hAnsi="Maiandra GD"/>
        </w:rPr>
        <w:t>Voix favorables  ______   Voix défavorables  ______   Abstentions  ______</w:t>
      </w:r>
    </w:p>
    <w:tbl>
      <w:tblPr>
        <w:tblW w:w="0" w:type="auto"/>
        <w:jc w:val="center"/>
        <w:tblLayout w:type="fixed"/>
        <w:tblLook w:val="04A0" w:firstRow="1" w:lastRow="0" w:firstColumn="1" w:lastColumn="0" w:noHBand="0" w:noVBand="1"/>
      </w:tblPr>
      <w:tblGrid>
        <w:gridCol w:w="567"/>
        <w:gridCol w:w="4365"/>
        <w:gridCol w:w="2211"/>
        <w:gridCol w:w="2829"/>
      </w:tblGrid>
      <w:tr w:rsidR="00BF3328" w:rsidRPr="00D20E82" w14:paraId="789FC21E" w14:textId="77777777">
        <w:trPr>
          <w:cantSplit/>
          <w:tblHeader/>
          <w:jc w:val="center"/>
        </w:trPr>
        <w:tc>
          <w:tcPr>
            <w:tcW w:w="567" w:type="dxa"/>
            <w:tcBorders>
              <w:top w:val="single" w:sz="5" w:space="0" w:color="D9D9D9"/>
              <w:left w:val="single" w:sz="5" w:space="0" w:color="D9D9D9"/>
              <w:bottom w:val="single" w:sz="5" w:space="0" w:color="D9D9D9"/>
              <w:right w:val="single" w:sz="5" w:space="0" w:color="D9D9D9"/>
            </w:tcBorders>
            <w:shd w:val="clear" w:color="auto" w:fill="E8ECE9"/>
            <w:tcMar>
              <w:top w:w="90" w:type="dxa"/>
              <w:left w:w="90" w:type="dxa"/>
              <w:bottom w:w="90" w:type="dxa"/>
              <w:right w:w="90" w:type="dxa"/>
            </w:tcMar>
            <w:vAlign w:val="center"/>
          </w:tcPr>
          <w:p w14:paraId="78D11C24" w14:textId="77777777" w:rsidR="00BF3328" w:rsidRPr="00D20E82" w:rsidRDefault="00507AE6">
            <w:pPr>
              <w:spacing w:before="20" w:after="20" w:line="240" w:lineRule="auto"/>
              <w:jc w:val="center"/>
              <w:rPr>
                <w:rFonts w:ascii="Maiandra GD" w:hAnsi="Maiandra GD"/>
              </w:rPr>
            </w:pPr>
            <w:r w:rsidRPr="00D20E82">
              <w:rPr>
                <w:rFonts w:ascii="Maiandra GD" w:hAnsi="Maiandra GD"/>
                <w:b/>
                <w:sz w:val="20"/>
              </w:rPr>
              <w:t>N°</w:t>
            </w:r>
          </w:p>
        </w:tc>
        <w:tc>
          <w:tcPr>
            <w:tcW w:w="4365" w:type="dxa"/>
            <w:tcBorders>
              <w:top w:val="single" w:sz="5" w:space="0" w:color="D9D9D9"/>
              <w:left w:val="single" w:sz="5" w:space="0" w:color="D9D9D9"/>
              <w:bottom w:val="single" w:sz="5" w:space="0" w:color="D9D9D9"/>
              <w:right w:val="single" w:sz="5" w:space="0" w:color="D9D9D9"/>
            </w:tcBorders>
            <w:shd w:val="clear" w:color="auto" w:fill="E8ECE9"/>
            <w:tcMar>
              <w:top w:w="90" w:type="dxa"/>
              <w:left w:w="90" w:type="dxa"/>
              <w:bottom w:w="90" w:type="dxa"/>
              <w:right w:w="90" w:type="dxa"/>
            </w:tcMar>
            <w:vAlign w:val="center"/>
          </w:tcPr>
          <w:p w14:paraId="09318A04" w14:textId="77777777" w:rsidR="00BF3328" w:rsidRPr="00D20E82" w:rsidRDefault="00507AE6">
            <w:pPr>
              <w:spacing w:before="20" w:after="20" w:line="240" w:lineRule="auto"/>
              <w:jc w:val="left"/>
              <w:rPr>
                <w:rFonts w:ascii="Maiandra GD" w:hAnsi="Maiandra GD"/>
              </w:rPr>
            </w:pPr>
            <w:r w:rsidRPr="00D20E82">
              <w:rPr>
                <w:rFonts w:ascii="Maiandra GD" w:hAnsi="Maiandra GD"/>
                <w:b/>
                <w:sz w:val="20"/>
              </w:rPr>
              <w:t>Noms post-noms et prénoms</w:t>
            </w:r>
          </w:p>
        </w:tc>
        <w:tc>
          <w:tcPr>
            <w:tcW w:w="2211" w:type="dxa"/>
            <w:tcBorders>
              <w:top w:val="single" w:sz="5" w:space="0" w:color="D9D9D9"/>
              <w:left w:val="single" w:sz="5" w:space="0" w:color="D9D9D9"/>
              <w:bottom w:val="single" w:sz="5" w:space="0" w:color="D9D9D9"/>
              <w:right w:val="single" w:sz="5" w:space="0" w:color="D9D9D9"/>
            </w:tcBorders>
            <w:shd w:val="clear" w:color="auto" w:fill="E8ECE9"/>
            <w:tcMar>
              <w:top w:w="90" w:type="dxa"/>
              <w:left w:w="90" w:type="dxa"/>
              <w:bottom w:w="90" w:type="dxa"/>
              <w:right w:w="90" w:type="dxa"/>
            </w:tcMar>
            <w:vAlign w:val="center"/>
          </w:tcPr>
          <w:p w14:paraId="4C887586" w14:textId="77777777" w:rsidR="00BF3328" w:rsidRPr="00D20E82" w:rsidRDefault="00507AE6">
            <w:pPr>
              <w:spacing w:before="20" w:after="20" w:line="240" w:lineRule="auto"/>
              <w:jc w:val="left"/>
              <w:rPr>
                <w:rFonts w:ascii="Maiandra GD" w:hAnsi="Maiandra GD"/>
              </w:rPr>
            </w:pPr>
            <w:r w:rsidRPr="00D20E82">
              <w:rPr>
                <w:rFonts w:ascii="Maiandra GD" w:hAnsi="Maiandra GD"/>
                <w:b/>
                <w:sz w:val="20"/>
              </w:rPr>
              <w:t>Qualité ou fonction</w:t>
            </w:r>
          </w:p>
        </w:tc>
        <w:tc>
          <w:tcPr>
            <w:tcW w:w="2829" w:type="dxa"/>
            <w:tcBorders>
              <w:top w:val="single" w:sz="5" w:space="0" w:color="D9D9D9"/>
              <w:left w:val="single" w:sz="5" w:space="0" w:color="D9D9D9"/>
              <w:bottom w:val="single" w:sz="5" w:space="0" w:color="D9D9D9"/>
              <w:right w:val="single" w:sz="5" w:space="0" w:color="D9D9D9"/>
            </w:tcBorders>
            <w:shd w:val="clear" w:color="auto" w:fill="E8ECE9"/>
            <w:tcMar>
              <w:top w:w="90" w:type="dxa"/>
              <w:left w:w="90" w:type="dxa"/>
              <w:bottom w:w="90" w:type="dxa"/>
              <w:right w:w="90" w:type="dxa"/>
            </w:tcMar>
            <w:vAlign w:val="center"/>
          </w:tcPr>
          <w:p w14:paraId="2A1166C1" w14:textId="77777777" w:rsidR="00BF3328" w:rsidRPr="00D20E82" w:rsidRDefault="00507AE6">
            <w:pPr>
              <w:spacing w:before="20" w:after="20" w:line="240" w:lineRule="auto"/>
              <w:jc w:val="left"/>
              <w:rPr>
                <w:rFonts w:ascii="Maiandra GD" w:hAnsi="Maiandra GD"/>
              </w:rPr>
            </w:pPr>
            <w:r w:rsidRPr="00D20E82">
              <w:rPr>
                <w:rFonts w:ascii="Maiandra GD" w:hAnsi="Maiandra GD"/>
                <w:b/>
                <w:sz w:val="20"/>
              </w:rPr>
              <w:t>Signature</w:t>
            </w:r>
          </w:p>
        </w:tc>
      </w:tr>
      <w:tr w:rsidR="00BF3328" w:rsidRPr="00D20E82" w14:paraId="1DC5E9E8"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3E6E818"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1</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6C62A979"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00C6F1C"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180F4B3C" w14:textId="77777777" w:rsidR="00BF3328" w:rsidRPr="00D20E82" w:rsidRDefault="00BF3328">
            <w:pPr>
              <w:spacing w:before="20" w:after="20" w:line="240" w:lineRule="auto"/>
              <w:jc w:val="left"/>
              <w:rPr>
                <w:rFonts w:ascii="Maiandra GD" w:hAnsi="Maiandra GD"/>
              </w:rPr>
            </w:pPr>
          </w:p>
        </w:tc>
      </w:tr>
      <w:tr w:rsidR="00BF3328" w:rsidRPr="00D20E82" w14:paraId="55AE96C3"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4CAB2A18"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2</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5D7AB920"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481CFBBB"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1AF21F7C" w14:textId="77777777" w:rsidR="00BF3328" w:rsidRPr="00D20E82" w:rsidRDefault="00BF3328">
            <w:pPr>
              <w:spacing w:before="20" w:after="20" w:line="240" w:lineRule="auto"/>
              <w:jc w:val="left"/>
              <w:rPr>
                <w:rFonts w:ascii="Maiandra GD" w:hAnsi="Maiandra GD"/>
              </w:rPr>
            </w:pPr>
          </w:p>
        </w:tc>
      </w:tr>
      <w:tr w:rsidR="00BF3328" w:rsidRPr="00D20E82" w14:paraId="2568BC07"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5DA91F4"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3</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4D1E12AF"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15BFA3A3"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73F55271" w14:textId="77777777" w:rsidR="00BF3328" w:rsidRPr="00D20E82" w:rsidRDefault="00BF3328">
            <w:pPr>
              <w:spacing w:before="20" w:after="20" w:line="240" w:lineRule="auto"/>
              <w:jc w:val="left"/>
              <w:rPr>
                <w:rFonts w:ascii="Maiandra GD" w:hAnsi="Maiandra GD"/>
              </w:rPr>
            </w:pPr>
          </w:p>
        </w:tc>
      </w:tr>
      <w:tr w:rsidR="00BF3328" w:rsidRPr="00D20E82" w14:paraId="4953BD97"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3E021F80"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4</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727F4BDC"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188E3960"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33BD47E" w14:textId="77777777" w:rsidR="00BF3328" w:rsidRPr="00D20E82" w:rsidRDefault="00BF3328">
            <w:pPr>
              <w:spacing w:before="20" w:after="20" w:line="240" w:lineRule="auto"/>
              <w:jc w:val="left"/>
              <w:rPr>
                <w:rFonts w:ascii="Maiandra GD" w:hAnsi="Maiandra GD"/>
              </w:rPr>
            </w:pPr>
          </w:p>
        </w:tc>
      </w:tr>
      <w:tr w:rsidR="00BF3328" w:rsidRPr="00D20E82" w14:paraId="378896E1"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C9D1F33"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5</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2C2BD19"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23DD2C32"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76F531E8" w14:textId="77777777" w:rsidR="00BF3328" w:rsidRPr="00D20E82" w:rsidRDefault="00BF3328">
            <w:pPr>
              <w:spacing w:before="20" w:after="20" w:line="240" w:lineRule="auto"/>
              <w:jc w:val="left"/>
              <w:rPr>
                <w:rFonts w:ascii="Maiandra GD" w:hAnsi="Maiandra GD"/>
              </w:rPr>
            </w:pPr>
          </w:p>
        </w:tc>
      </w:tr>
      <w:tr w:rsidR="00BF3328" w:rsidRPr="00D20E82" w14:paraId="534D5D6F"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0E110A7C"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6</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3ECBFB3B"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3271EB83"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5764DBB4" w14:textId="77777777" w:rsidR="00BF3328" w:rsidRPr="00D20E82" w:rsidRDefault="00BF3328">
            <w:pPr>
              <w:spacing w:before="20" w:after="20" w:line="240" w:lineRule="auto"/>
              <w:jc w:val="left"/>
              <w:rPr>
                <w:rFonts w:ascii="Maiandra GD" w:hAnsi="Maiandra GD"/>
              </w:rPr>
            </w:pPr>
          </w:p>
        </w:tc>
      </w:tr>
      <w:tr w:rsidR="00BF3328" w:rsidRPr="00D20E82" w14:paraId="75AC7F9C" w14:textId="77777777">
        <w:trPr>
          <w:cantSplit/>
          <w:trHeight w:val="595"/>
          <w:jc w:val="center"/>
        </w:trPr>
        <w:tc>
          <w:tcPr>
            <w:tcW w:w="567"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5A064B62" w14:textId="77777777" w:rsidR="00BF3328" w:rsidRPr="00D20E82" w:rsidRDefault="00507AE6">
            <w:pPr>
              <w:spacing w:before="20" w:after="20" w:line="240" w:lineRule="auto"/>
              <w:jc w:val="center"/>
              <w:rPr>
                <w:rFonts w:ascii="Maiandra GD" w:hAnsi="Maiandra GD"/>
              </w:rPr>
            </w:pPr>
            <w:r w:rsidRPr="00D20E82">
              <w:rPr>
                <w:rFonts w:ascii="Maiandra GD" w:hAnsi="Maiandra GD"/>
                <w:sz w:val="20"/>
              </w:rPr>
              <w:t>7</w:t>
            </w:r>
          </w:p>
        </w:tc>
        <w:tc>
          <w:tcPr>
            <w:tcW w:w="4365"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3E86C332" w14:textId="77777777" w:rsidR="00BF3328" w:rsidRPr="00D20E82" w:rsidRDefault="00BF3328">
            <w:pPr>
              <w:spacing w:before="20" w:after="20" w:line="240" w:lineRule="auto"/>
              <w:jc w:val="left"/>
              <w:rPr>
                <w:rFonts w:ascii="Maiandra GD" w:hAnsi="Maiandra GD"/>
              </w:rPr>
            </w:pPr>
          </w:p>
        </w:tc>
        <w:tc>
          <w:tcPr>
            <w:tcW w:w="2211"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52FB31C6" w14:textId="77777777" w:rsidR="00BF3328" w:rsidRPr="00D20E82" w:rsidRDefault="00BF3328">
            <w:pPr>
              <w:spacing w:before="20" w:after="20" w:line="240" w:lineRule="auto"/>
              <w:jc w:val="left"/>
              <w:rPr>
                <w:rFonts w:ascii="Maiandra GD" w:hAnsi="Maiandra GD"/>
              </w:rPr>
            </w:pPr>
          </w:p>
        </w:tc>
        <w:tc>
          <w:tcPr>
            <w:tcW w:w="2829" w:type="dxa"/>
            <w:tcBorders>
              <w:top w:val="single" w:sz="5" w:space="0" w:color="D9D9D9"/>
              <w:left w:val="single" w:sz="5" w:space="0" w:color="D9D9D9"/>
              <w:bottom w:val="single" w:sz="5" w:space="0" w:color="D9D9D9"/>
              <w:right w:val="single" w:sz="5" w:space="0" w:color="D9D9D9"/>
            </w:tcBorders>
            <w:tcMar>
              <w:top w:w="90" w:type="dxa"/>
              <w:left w:w="90" w:type="dxa"/>
              <w:bottom w:w="90" w:type="dxa"/>
              <w:right w:w="90" w:type="dxa"/>
            </w:tcMar>
            <w:vAlign w:val="center"/>
          </w:tcPr>
          <w:p w14:paraId="09B16641" w14:textId="77777777" w:rsidR="00BF3328" w:rsidRPr="00D20E82" w:rsidRDefault="00BF3328">
            <w:pPr>
              <w:spacing w:before="20" w:after="20" w:line="240" w:lineRule="auto"/>
              <w:jc w:val="left"/>
              <w:rPr>
                <w:rFonts w:ascii="Maiandra GD" w:hAnsi="Maiandra GD"/>
              </w:rPr>
            </w:pPr>
          </w:p>
        </w:tc>
      </w:tr>
    </w:tbl>
    <w:p w14:paraId="75A8861E" w14:textId="77777777" w:rsidR="00BF3328" w:rsidRPr="00D20E82" w:rsidRDefault="00507AE6">
      <w:pPr>
        <w:spacing w:before="160" w:after="120"/>
        <w:rPr>
          <w:rFonts w:ascii="Maiandra GD" w:hAnsi="Maiandra GD"/>
        </w:rPr>
      </w:pPr>
      <w:r w:rsidRPr="00D20E82">
        <w:rPr>
          <w:rFonts w:ascii="Maiandra GD" w:hAnsi="Maiandra GD"/>
          <w:sz w:val="19"/>
        </w:rPr>
        <w:t>La liste complète des membres effectifs et la déclaration des personnes chargées de l’administration ou de la direction sont établies séparément avec les mentions requises. Une feuille de signatures complémentaire peut être annexée au même acte.</w:t>
      </w:r>
    </w:p>
    <w:p w14:paraId="5D2E363E" w14:textId="77777777" w:rsidR="00BF3328" w:rsidRPr="00D20E82" w:rsidRDefault="00507AE6">
      <w:pPr>
        <w:spacing w:after="120"/>
        <w:rPr>
          <w:rFonts w:ascii="Maiandra GD" w:hAnsi="Maiandra GD"/>
        </w:rPr>
      </w:pPr>
      <w:r w:rsidRPr="00D20E82">
        <w:rPr>
          <w:rFonts w:ascii="Maiandra GD" w:hAnsi="Maiandra GD"/>
          <w:b/>
          <w:sz w:val="21"/>
        </w:rPr>
        <w:t>Authentification et formalités requises</w:t>
      </w:r>
    </w:p>
    <w:p w14:paraId="50E3C06A" w14:textId="77777777" w:rsidR="00BF3328" w:rsidRPr="00D20E82" w:rsidRDefault="00507AE6">
      <w:pPr>
        <w:rPr>
          <w:rFonts w:ascii="Maiandra GD" w:hAnsi="Maiandra GD"/>
        </w:rPr>
      </w:pPr>
      <w:r w:rsidRPr="00D20E82">
        <w:rPr>
          <w:rFonts w:ascii="Maiandra GD" w:hAnsi="Maiandra GD"/>
          <w:sz w:val="22"/>
        </w:rPr>
        <w:t>____________________________________________________________________</w:t>
      </w:r>
    </w:p>
    <w:sectPr w:rsidR="00BF3328" w:rsidRPr="00D20E82" w:rsidSect="00034616">
      <w:headerReference w:type="default" r:id="rId10"/>
      <w:pgSz w:w="12240" w:h="15840"/>
      <w:pgMar w:top="2494" w:right="1134" w:bottom="1531"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7AADF" w14:textId="77777777" w:rsidR="003A6354" w:rsidRDefault="003A6354">
      <w:pPr>
        <w:spacing w:after="0" w:line="240" w:lineRule="auto"/>
      </w:pPr>
      <w:r>
        <w:separator/>
      </w:r>
    </w:p>
  </w:endnote>
  <w:endnote w:type="continuationSeparator" w:id="0">
    <w:p w14:paraId="5B78DEB6" w14:textId="77777777" w:rsidR="003A6354" w:rsidRDefault="003A6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imbus Roman">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92AE" w14:textId="77777777" w:rsidR="00BF3328" w:rsidRDefault="00507AE6">
    <w:pPr>
      <w:pStyle w:val="Footer"/>
      <w:spacing w:after="60"/>
      <w:jc w:val="center"/>
    </w:pPr>
    <w:r>
      <w:rPr>
        <w:sz w:val="16"/>
      </w:rPr>
      <w:t xml:space="preserve">VISUMO </w:t>
    </w:r>
    <w:proofErr w:type="gramStart"/>
    <w:r>
      <w:rPr>
        <w:sz w:val="16"/>
      </w:rPr>
      <w:t>ASBL  |</w:t>
    </w:r>
    <w:proofErr w:type="gramEnd"/>
    <w:r>
      <w:rPr>
        <w:sz w:val="16"/>
      </w:rPr>
      <w:t xml:space="preserve">  </w:t>
    </w:r>
    <w:proofErr w:type="gramStart"/>
    <w:r>
      <w:rPr>
        <w:sz w:val="16"/>
      </w:rPr>
      <w:t>Statuts  |</w:t>
    </w:r>
    <w:proofErr w:type="gramEnd"/>
    <w:r>
      <w:rPr>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rPr>
      <w:t xml:space="preserve"> /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p w14:paraId="23181F97" w14:textId="77777777" w:rsidR="00BF3328" w:rsidRDefault="00507AE6">
    <w:pPr>
      <w:spacing w:after="0" w:line="240" w:lineRule="auto"/>
      <w:ind w:left="-400" w:right="-400"/>
      <w:jc w:val="center"/>
    </w:pPr>
    <w:r>
      <w:rPr>
        <w:noProof/>
      </w:rPr>
      <w:drawing>
        <wp:inline distT="0" distB="0" distL="0" distR="0" wp14:anchorId="45936664" wp14:editId="42CBE272">
          <wp:extent cx="6840000" cy="432000"/>
          <wp:effectExtent l="0" t="0" r="0" b="0"/>
          <wp:docPr id="1096181933" name="Picture 1096181933" descr="Pied de page VISUMO en courbes vertes et dor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MO_Footer_190x12mm_edited.jpg"/>
                  <pic:cNvPicPr/>
                </pic:nvPicPr>
                <pic:blipFill>
                  <a:blip r:embed="rId1"/>
                  <a:stretch>
                    <a:fillRect/>
                  </a:stretch>
                </pic:blipFill>
                <pic:spPr>
                  <a:xfrm>
                    <a:off x="0" y="0"/>
                    <a:ext cx="6840000" cy="432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F5D81" w14:textId="77777777" w:rsidR="003A6354" w:rsidRDefault="003A6354">
      <w:pPr>
        <w:spacing w:after="0" w:line="240" w:lineRule="auto"/>
      </w:pPr>
      <w:r>
        <w:separator/>
      </w:r>
    </w:p>
  </w:footnote>
  <w:footnote w:type="continuationSeparator" w:id="0">
    <w:p w14:paraId="2AF74C12" w14:textId="77777777" w:rsidR="003A6354" w:rsidRDefault="003A6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98C9" w14:textId="77777777" w:rsidR="00903D67" w:rsidRDefault="00903D67">
    <w:pPr>
      <w:pStyle w:val="Header"/>
      <w:ind w:left="-400" w:right="-400"/>
      <w:jc w:val="center"/>
      <w:rPr>
        <w:noProof/>
      </w:rPr>
    </w:pPr>
  </w:p>
  <w:p w14:paraId="228D3FD3" w14:textId="182C583B" w:rsidR="00BF3328" w:rsidRDefault="00507AE6">
    <w:pPr>
      <w:pStyle w:val="Header"/>
      <w:ind w:left="-400" w:right="-400"/>
      <w:jc w:val="center"/>
    </w:pPr>
    <w:r>
      <w:rPr>
        <w:noProof/>
      </w:rPr>
      <w:drawing>
        <wp:inline distT="0" distB="0" distL="0" distR="0" wp14:anchorId="0877705C" wp14:editId="691E2C39">
          <wp:extent cx="6840000" cy="1506643"/>
          <wp:effectExtent l="0" t="0" r="0" b="0"/>
          <wp:docPr id="1" name="Picture 1" descr="En-tête VISUMO avec logo mère et enfant, coordonnées et domaines de 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mo_cover_header.png"/>
                  <pic:cNvPicPr/>
                </pic:nvPicPr>
                <pic:blipFill>
                  <a:blip r:embed="rId1"/>
                  <a:stretch>
                    <a:fillRect/>
                  </a:stretch>
                </pic:blipFill>
                <pic:spPr>
                  <a:xfrm>
                    <a:off x="0" y="0"/>
                    <a:ext cx="6840000" cy="150664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E5EE" w14:textId="77777777" w:rsidR="00BF3328" w:rsidRDefault="00507AE6">
    <w:pPr>
      <w:pStyle w:val="Header"/>
      <w:ind w:left="-400" w:right="-400"/>
      <w:jc w:val="center"/>
    </w:pPr>
    <w:r>
      <w:rPr>
        <w:noProof/>
      </w:rPr>
      <w:drawing>
        <wp:inline distT="0" distB="0" distL="0" distR="0" wp14:anchorId="22BAFA45" wp14:editId="7A1FEE26">
          <wp:extent cx="6840000" cy="1080000"/>
          <wp:effectExtent l="0" t="0" r="0" b="0"/>
          <wp:docPr id="12218967" name="Picture 12218967" descr="En-tête VISUMO avec logo mère et enfant, coordonnées et domaines de 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MO_Header_190x30mm.png"/>
                  <pic:cNvPicPr/>
                </pic:nvPicPr>
                <pic:blipFill>
                  <a:blip r:embed="rId1"/>
                  <a:stretch>
                    <a:fillRect/>
                  </a:stretch>
                </pic:blipFill>
                <pic:spPr>
                  <a:xfrm>
                    <a:off x="0" y="0"/>
                    <a:ext cx="6840000" cy="108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5968015">
    <w:abstractNumId w:val="8"/>
  </w:num>
  <w:num w:numId="2" w16cid:durableId="1621913124">
    <w:abstractNumId w:val="6"/>
  </w:num>
  <w:num w:numId="3" w16cid:durableId="509225749">
    <w:abstractNumId w:val="5"/>
  </w:num>
  <w:num w:numId="4" w16cid:durableId="228998751">
    <w:abstractNumId w:val="4"/>
  </w:num>
  <w:num w:numId="5" w16cid:durableId="788861154">
    <w:abstractNumId w:val="7"/>
  </w:num>
  <w:num w:numId="6" w16cid:durableId="1944803773">
    <w:abstractNumId w:val="3"/>
  </w:num>
  <w:num w:numId="7" w16cid:durableId="1830124394">
    <w:abstractNumId w:val="2"/>
  </w:num>
  <w:num w:numId="8" w16cid:durableId="542057752">
    <w:abstractNumId w:val="1"/>
  </w:num>
  <w:num w:numId="9" w16cid:durableId="1993100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6354"/>
    <w:rsid w:val="00507AE6"/>
    <w:rsid w:val="00903D67"/>
    <w:rsid w:val="00A223B4"/>
    <w:rsid w:val="00AA1D8D"/>
    <w:rsid w:val="00B21ADC"/>
    <w:rsid w:val="00B47730"/>
    <w:rsid w:val="00B54907"/>
    <w:rsid w:val="00BF3328"/>
    <w:rsid w:val="00CB0664"/>
    <w:rsid w:val="00D20E82"/>
    <w:rsid w:val="00FC693F"/>
    <w:rsid w:val="00FD6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F66C9"/>
  <w14:defaultImageDpi w14:val="300"/>
  <w15:docId w15:val="{3F305122-2BEC-46EE-9818-C12BA19A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Nimbus Roman" w:eastAsia="Nimbus Roman" w:hAnsi="Nimbus Roman" w:cs="Nimbus Roman"/>
      <w:color w:val="000000"/>
      <w:sz w:val="23"/>
      <w:lang w:val="fr-FR"/>
    </w:rPr>
  </w:style>
  <w:style w:type="paragraph" w:styleId="Heading1">
    <w:name w:val="heading 1"/>
    <w:basedOn w:val="Normal"/>
    <w:next w:val="Normal"/>
    <w:link w:val="Heading1Char"/>
    <w:uiPriority w:val="9"/>
    <w:qFormat/>
    <w:rsid w:val="00FC693F"/>
    <w:pPr>
      <w:keepNext/>
      <w:keepLines/>
      <w:spacing w:after="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b/>
      <w:bCs/>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jc w:val="center"/>
    </w:pPr>
    <w:rPr>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jc w:val="center"/>
    </w:pPr>
    <w:rPr>
      <w:i/>
      <w:iCs/>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7943</Words>
  <Characters>45277</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de VISUMO</dc:title>
  <dc:subject>Statuts en français de Violence Survivors Mothers ASBL</dc:subject>
  <dc:creator>VIOLENCE SURVIVORS MOTHERS</dc:creator>
  <cp:keywords>VISUMO, statuts, association sans but lucratif, Beni, RDC</cp:keywords>
  <dc:description/>
  <cp:lastModifiedBy>Jerome ALINETWE</cp:lastModifiedBy>
  <cp:revision>5</cp:revision>
  <dcterms:created xsi:type="dcterms:W3CDTF">2026-10-18T10:47:00Z</dcterms:created>
  <dcterms:modified xsi:type="dcterms:W3CDTF">2026-10-18T12:23:00Z</dcterms:modified>
  <cp:category/>
</cp:coreProperties>
</file>